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2943BA" w14:textId="601E537E" w:rsidR="00D12CE2" w:rsidRDefault="00D12CE2">
      <w:pPr>
        <w:rPr>
          <w:rFonts w:ascii="Times New Roman" w:hAnsi="Times New Roman" w:cs="Times New Roman"/>
          <w:color w:val="000000" w:themeColor="text1"/>
          <w:sz w:val="24"/>
          <w:szCs w:val="24"/>
        </w:rPr>
      </w:pPr>
      <w:bookmarkStart w:id="0" w:name="_GoBack"/>
    </w:p>
    <w:p w14:paraId="77F57549" w14:textId="77777777" w:rsidR="002140CB" w:rsidRDefault="002140CB" w:rsidP="00D12CE2">
      <w:pPr>
        <w:spacing w:line="480" w:lineRule="auto"/>
        <w:jc w:val="center"/>
        <w:rPr>
          <w:rFonts w:ascii="Times New Roman" w:hAnsi="Times New Roman" w:cs="Times New Roman"/>
          <w:color w:val="000000" w:themeColor="text1"/>
          <w:sz w:val="24"/>
          <w:szCs w:val="24"/>
        </w:rPr>
      </w:pPr>
    </w:p>
    <w:p w14:paraId="1EA16BCE" w14:textId="77777777" w:rsidR="002140CB" w:rsidRDefault="002140CB" w:rsidP="00D12CE2">
      <w:pPr>
        <w:spacing w:line="480" w:lineRule="auto"/>
        <w:jc w:val="center"/>
        <w:rPr>
          <w:rFonts w:ascii="Times New Roman" w:hAnsi="Times New Roman" w:cs="Times New Roman"/>
          <w:color w:val="000000" w:themeColor="text1"/>
          <w:sz w:val="24"/>
          <w:szCs w:val="24"/>
        </w:rPr>
      </w:pPr>
    </w:p>
    <w:p w14:paraId="31B18219" w14:textId="77777777" w:rsidR="002140CB" w:rsidRDefault="002140CB" w:rsidP="00D12CE2">
      <w:pPr>
        <w:spacing w:line="480" w:lineRule="auto"/>
        <w:jc w:val="center"/>
        <w:rPr>
          <w:rFonts w:ascii="Times New Roman" w:hAnsi="Times New Roman" w:cs="Times New Roman"/>
          <w:color w:val="000000" w:themeColor="text1"/>
          <w:sz w:val="24"/>
          <w:szCs w:val="24"/>
        </w:rPr>
      </w:pPr>
    </w:p>
    <w:p w14:paraId="01D8BEC5" w14:textId="77777777" w:rsidR="002140CB" w:rsidRDefault="002140CB" w:rsidP="00D12CE2">
      <w:pPr>
        <w:spacing w:line="480" w:lineRule="auto"/>
        <w:jc w:val="center"/>
        <w:rPr>
          <w:rFonts w:ascii="Times New Roman" w:hAnsi="Times New Roman" w:cs="Times New Roman"/>
          <w:color w:val="000000" w:themeColor="text1"/>
          <w:sz w:val="24"/>
          <w:szCs w:val="24"/>
        </w:rPr>
      </w:pPr>
    </w:p>
    <w:p w14:paraId="731B3C31" w14:textId="77777777" w:rsidR="002140CB" w:rsidRDefault="002140CB" w:rsidP="00D12CE2">
      <w:pPr>
        <w:spacing w:line="480" w:lineRule="auto"/>
        <w:jc w:val="center"/>
        <w:rPr>
          <w:rFonts w:ascii="Times New Roman" w:hAnsi="Times New Roman" w:cs="Times New Roman"/>
          <w:color w:val="000000" w:themeColor="text1"/>
          <w:sz w:val="24"/>
          <w:szCs w:val="24"/>
        </w:rPr>
      </w:pPr>
    </w:p>
    <w:p w14:paraId="76E11F95" w14:textId="77777777" w:rsidR="002140CB" w:rsidRDefault="002140CB" w:rsidP="00D12CE2">
      <w:pPr>
        <w:spacing w:line="480" w:lineRule="auto"/>
        <w:jc w:val="center"/>
        <w:rPr>
          <w:rFonts w:ascii="Times New Roman" w:hAnsi="Times New Roman" w:cs="Times New Roman"/>
          <w:color w:val="000000" w:themeColor="text1"/>
          <w:sz w:val="24"/>
          <w:szCs w:val="24"/>
        </w:rPr>
      </w:pPr>
    </w:p>
    <w:p w14:paraId="15D9D102" w14:textId="007B2439" w:rsidR="00D12CE2" w:rsidRDefault="00D12CE2" w:rsidP="00D12CE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Exp</w:t>
      </w:r>
      <w:r>
        <w:rPr>
          <w:rFonts w:ascii="Times New Roman" w:hAnsi="Times New Roman" w:cs="Times New Roman"/>
          <w:color w:val="000000" w:themeColor="text1"/>
          <w:sz w:val="24"/>
          <w:szCs w:val="24"/>
        </w:rPr>
        <w:t>eriential Learning Application 2-Chapter 4</w:t>
      </w:r>
    </w:p>
    <w:p w14:paraId="35858ABF" w14:textId="17B2AB63" w:rsidR="002140CB" w:rsidRPr="002140CB" w:rsidRDefault="002140CB" w:rsidP="00D12CE2">
      <w:pPr>
        <w:jc w:val="center"/>
        <w:rPr>
          <w:rFonts w:ascii="Times New Roman" w:hAnsi="Times New Roman" w:cs="Times New Roman"/>
          <w:color w:val="000000" w:themeColor="text1"/>
          <w:sz w:val="24"/>
          <w:szCs w:val="24"/>
        </w:rPr>
      </w:pPr>
      <w:r w:rsidRPr="002140CB">
        <w:rPr>
          <w:rFonts w:ascii="Times New Roman" w:hAnsi="Times New Roman" w:cs="Times New Roman"/>
          <w:color w:val="000000" w:themeColor="text1"/>
          <w:sz w:val="24"/>
          <w:szCs w:val="24"/>
        </w:rPr>
        <w:t>Name</w:t>
      </w:r>
    </w:p>
    <w:p w14:paraId="22E71F90" w14:textId="2F0CBB87" w:rsidR="002140CB" w:rsidRPr="002140CB" w:rsidRDefault="002140CB" w:rsidP="00D12CE2">
      <w:pPr>
        <w:jc w:val="center"/>
        <w:rPr>
          <w:rFonts w:ascii="Times New Roman" w:hAnsi="Times New Roman" w:cs="Times New Roman"/>
          <w:color w:val="000000" w:themeColor="text1"/>
          <w:sz w:val="24"/>
          <w:szCs w:val="24"/>
        </w:rPr>
      </w:pPr>
      <w:r w:rsidRPr="002140CB">
        <w:rPr>
          <w:rFonts w:ascii="Times New Roman" w:hAnsi="Times New Roman" w:cs="Times New Roman"/>
          <w:color w:val="000000" w:themeColor="text1"/>
          <w:sz w:val="24"/>
          <w:szCs w:val="24"/>
        </w:rPr>
        <w:t xml:space="preserve">Institution Affiliation </w:t>
      </w:r>
    </w:p>
    <w:p w14:paraId="5F287F5A" w14:textId="77777777" w:rsidR="002140CB" w:rsidRDefault="002140CB" w:rsidP="00D12CE2">
      <w:pPr>
        <w:jc w:val="center"/>
        <w:rPr>
          <w:rFonts w:ascii="Times New Roman" w:hAnsi="Times New Roman" w:cs="Times New Roman"/>
          <w:b/>
          <w:color w:val="000000" w:themeColor="text1"/>
          <w:sz w:val="24"/>
          <w:szCs w:val="24"/>
        </w:rPr>
      </w:pPr>
    </w:p>
    <w:p w14:paraId="2FAA81DA" w14:textId="77777777" w:rsidR="002140CB" w:rsidRDefault="002140CB" w:rsidP="00D12CE2">
      <w:pPr>
        <w:jc w:val="center"/>
        <w:rPr>
          <w:rFonts w:ascii="Times New Roman" w:hAnsi="Times New Roman" w:cs="Times New Roman"/>
          <w:b/>
          <w:color w:val="000000" w:themeColor="text1"/>
          <w:sz w:val="24"/>
          <w:szCs w:val="24"/>
        </w:rPr>
      </w:pPr>
    </w:p>
    <w:p w14:paraId="3B446016" w14:textId="77777777" w:rsidR="002140CB" w:rsidRDefault="002140CB" w:rsidP="00D12CE2">
      <w:pPr>
        <w:jc w:val="center"/>
        <w:rPr>
          <w:rFonts w:ascii="Times New Roman" w:hAnsi="Times New Roman" w:cs="Times New Roman"/>
          <w:b/>
          <w:color w:val="000000" w:themeColor="text1"/>
          <w:sz w:val="24"/>
          <w:szCs w:val="24"/>
        </w:rPr>
      </w:pPr>
    </w:p>
    <w:p w14:paraId="4927084E" w14:textId="77777777" w:rsidR="002140CB" w:rsidRDefault="002140CB" w:rsidP="00D12CE2">
      <w:pPr>
        <w:jc w:val="center"/>
        <w:rPr>
          <w:rFonts w:ascii="Times New Roman" w:hAnsi="Times New Roman" w:cs="Times New Roman"/>
          <w:b/>
          <w:color w:val="000000" w:themeColor="text1"/>
          <w:sz w:val="24"/>
          <w:szCs w:val="24"/>
        </w:rPr>
      </w:pPr>
    </w:p>
    <w:p w14:paraId="797669C8" w14:textId="77777777" w:rsidR="002140CB" w:rsidRDefault="002140CB" w:rsidP="00D12CE2">
      <w:pPr>
        <w:jc w:val="center"/>
        <w:rPr>
          <w:rFonts w:ascii="Times New Roman" w:hAnsi="Times New Roman" w:cs="Times New Roman"/>
          <w:b/>
          <w:color w:val="000000" w:themeColor="text1"/>
          <w:sz w:val="24"/>
          <w:szCs w:val="24"/>
        </w:rPr>
      </w:pPr>
    </w:p>
    <w:p w14:paraId="4EC50881" w14:textId="77777777" w:rsidR="002140CB" w:rsidRDefault="002140CB" w:rsidP="00D12CE2">
      <w:pPr>
        <w:jc w:val="center"/>
        <w:rPr>
          <w:rFonts w:ascii="Times New Roman" w:hAnsi="Times New Roman" w:cs="Times New Roman"/>
          <w:b/>
          <w:color w:val="000000" w:themeColor="text1"/>
          <w:sz w:val="24"/>
          <w:szCs w:val="24"/>
        </w:rPr>
      </w:pPr>
    </w:p>
    <w:p w14:paraId="77E41799" w14:textId="77777777" w:rsidR="002140CB" w:rsidRDefault="002140CB" w:rsidP="00D12CE2">
      <w:pPr>
        <w:jc w:val="center"/>
        <w:rPr>
          <w:rFonts w:ascii="Times New Roman" w:hAnsi="Times New Roman" w:cs="Times New Roman"/>
          <w:b/>
          <w:color w:val="000000" w:themeColor="text1"/>
          <w:sz w:val="24"/>
          <w:szCs w:val="24"/>
        </w:rPr>
      </w:pPr>
    </w:p>
    <w:p w14:paraId="046A4784" w14:textId="77777777" w:rsidR="002140CB" w:rsidRDefault="002140CB" w:rsidP="00D12CE2">
      <w:pPr>
        <w:jc w:val="center"/>
        <w:rPr>
          <w:rFonts w:ascii="Times New Roman" w:hAnsi="Times New Roman" w:cs="Times New Roman"/>
          <w:b/>
          <w:color w:val="000000" w:themeColor="text1"/>
          <w:sz w:val="24"/>
          <w:szCs w:val="24"/>
        </w:rPr>
      </w:pPr>
    </w:p>
    <w:p w14:paraId="7C463B09" w14:textId="77777777" w:rsidR="002140CB" w:rsidRDefault="002140CB" w:rsidP="00D12CE2">
      <w:pPr>
        <w:jc w:val="center"/>
        <w:rPr>
          <w:rFonts w:ascii="Times New Roman" w:hAnsi="Times New Roman" w:cs="Times New Roman"/>
          <w:b/>
          <w:color w:val="000000" w:themeColor="text1"/>
          <w:sz w:val="24"/>
          <w:szCs w:val="24"/>
        </w:rPr>
      </w:pPr>
    </w:p>
    <w:p w14:paraId="2D53CF4B" w14:textId="77777777" w:rsidR="002140CB" w:rsidRDefault="002140CB" w:rsidP="00D12CE2">
      <w:pPr>
        <w:jc w:val="center"/>
        <w:rPr>
          <w:rFonts w:ascii="Times New Roman" w:hAnsi="Times New Roman" w:cs="Times New Roman"/>
          <w:b/>
          <w:color w:val="000000" w:themeColor="text1"/>
          <w:sz w:val="24"/>
          <w:szCs w:val="24"/>
        </w:rPr>
      </w:pPr>
    </w:p>
    <w:p w14:paraId="03443004" w14:textId="77777777" w:rsidR="002140CB" w:rsidRDefault="002140CB" w:rsidP="00D12CE2">
      <w:pPr>
        <w:jc w:val="center"/>
        <w:rPr>
          <w:rFonts w:ascii="Times New Roman" w:hAnsi="Times New Roman" w:cs="Times New Roman"/>
          <w:b/>
          <w:color w:val="000000" w:themeColor="text1"/>
          <w:sz w:val="24"/>
          <w:szCs w:val="24"/>
        </w:rPr>
      </w:pPr>
    </w:p>
    <w:p w14:paraId="69F2ACAB" w14:textId="77777777" w:rsidR="002140CB" w:rsidRDefault="002140CB" w:rsidP="00D12CE2">
      <w:pPr>
        <w:jc w:val="center"/>
        <w:rPr>
          <w:rFonts w:ascii="Times New Roman" w:hAnsi="Times New Roman" w:cs="Times New Roman"/>
          <w:b/>
          <w:color w:val="000000" w:themeColor="text1"/>
          <w:sz w:val="24"/>
          <w:szCs w:val="24"/>
        </w:rPr>
      </w:pPr>
    </w:p>
    <w:p w14:paraId="1DD70434" w14:textId="77777777" w:rsidR="002140CB" w:rsidRDefault="002140CB" w:rsidP="00D12CE2">
      <w:pPr>
        <w:jc w:val="center"/>
        <w:rPr>
          <w:rFonts w:ascii="Times New Roman" w:hAnsi="Times New Roman" w:cs="Times New Roman"/>
          <w:b/>
          <w:color w:val="000000" w:themeColor="text1"/>
          <w:sz w:val="24"/>
          <w:szCs w:val="24"/>
        </w:rPr>
      </w:pPr>
    </w:p>
    <w:p w14:paraId="5CC8EE78" w14:textId="77777777" w:rsidR="002140CB" w:rsidRDefault="002140CB" w:rsidP="00D12CE2">
      <w:pPr>
        <w:jc w:val="center"/>
        <w:rPr>
          <w:rFonts w:ascii="Times New Roman" w:hAnsi="Times New Roman" w:cs="Times New Roman"/>
          <w:b/>
          <w:color w:val="000000" w:themeColor="text1"/>
          <w:sz w:val="24"/>
          <w:szCs w:val="24"/>
        </w:rPr>
      </w:pPr>
    </w:p>
    <w:p w14:paraId="2371588C" w14:textId="77777777" w:rsidR="002140CB" w:rsidRDefault="002140CB" w:rsidP="00D12CE2">
      <w:pPr>
        <w:jc w:val="center"/>
        <w:rPr>
          <w:rFonts w:ascii="Times New Roman" w:hAnsi="Times New Roman" w:cs="Times New Roman"/>
          <w:b/>
          <w:color w:val="000000" w:themeColor="text1"/>
          <w:sz w:val="24"/>
          <w:szCs w:val="24"/>
        </w:rPr>
      </w:pPr>
    </w:p>
    <w:p w14:paraId="4C82B8F1" w14:textId="271A2629" w:rsidR="002140CB" w:rsidRDefault="002140CB" w:rsidP="002140CB">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Exp</w:t>
      </w:r>
      <w:r>
        <w:rPr>
          <w:rFonts w:ascii="Times New Roman" w:hAnsi="Times New Roman" w:cs="Times New Roman"/>
          <w:color w:val="000000" w:themeColor="text1"/>
          <w:sz w:val="24"/>
          <w:szCs w:val="24"/>
        </w:rPr>
        <w:t>eriential Learning Application 2-Chapter 4</w:t>
      </w:r>
    </w:p>
    <w:p w14:paraId="4E5EBC5D" w14:textId="77777777" w:rsidR="002140CB" w:rsidRDefault="002140CB" w:rsidP="00D12CE2">
      <w:pPr>
        <w:jc w:val="center"/>
        <w:rPr>
          <w:rFonts w:ascii="Times New Roman" w:hAnsi="Times New Roman" w:cs="Times New Roman"/>
          <w:b/>
          <w:color w:val="000000" w:themeColor="text1"/>
          <w:sz w:val="24"/>
          <w:szCs w:val="24"/>
        </w:rPr>
      </w:pPr>
    </w:p>
    <w:p w14:paraId="079836A5" w14:textId="6034021B" w:rsidR="008E0712" w:rsidRPr="00D12CE2" w:rsidRDefault="00732DA7" w:rsidP="00D12CE2">
      <w:pPr>
        <w:jc w:val="center"/>
        <w:rPr>
          <w:rFonts w:ascii="Times New Roman" w:hAnsi="Times New Roman" w:cs="Times New Roman"/>
          <w:b/>
          <w:color w:val="000000" w:themeColor="text1"/>
          <w:sz w:val="24"/>
          <w:szCs w:val="24"/>
        </w:rPr>
      </w:pPr>
      <w:r w:rsidRPr="00D12CE2">
        <w:rPr>
          <w:rFonts w:ascii="Times New Roman" w:hAnsi="Times New Roman" w:cs="Times New Roman"/>
          <w:b/>
          <w:color w:val="000000" w:themeColor="text1"/>
          <w:sz w:val="24"/>
          <w:szCs w:val="24"/>
        </w:rPr>
        <w:t>Introduction and problem statement</w:t>
      </w:r>
    </w:p>
    <w:p w14:paraId="7BE3E6A5" w14:textId="24B27B8D" w:rsidR="009B6B74" w:rsidRPr="00403575" w:rsidRDefault="009B6B74" w:rsidP="009B6B74">
      <w:pPr>
        <w:spacing w:line="480" w:lineRule="auto"/>
        <w:ind w:firstLine="720"/>
        <w:rPr>
          <w:rFonts w:ascii="Times New Roman" w:hAnsi="Times New Roman" w:cs="Times New Roman"/>
          <w:sz w:val="24"/>
          <w:szCs w:val="24"/>
        </w:rPr>
      </w:pPr>
      <w:r w:rsidRPr="00403575">
        <w:rPr>
          <w:rFonts w:ascii="Times New Roman" w:hAnsi="Times New Roman" w:cs="Times New Roman"/>
          <w:color w:val="000000" w:themeColor="text1"/>
          <w:sz w:val="24"/>
          <w:szCs w:val="24"/>
        </w:rPr>
        <w:t xml:space="preserve">Lack of medical compliance is one of the major problems affecting healthcare industry. </w:t>
      </w:r>
      <w:r w:rsidR="002D42F5" w:rsidRPr="00403575">
        <w:rPr>
          <w:rFonts w:ascii="Times New Roman" w:hAnsi="Times New Roman" w:cs="Times New Roman"/>
          <w:color w:val="000000" w:themeColor="text1"/>
          <w:sz w:val="24"/>
          <w:szCs w:val="24"/>
        </w:rPr>
        <w:t xml:space="preserve"> Lack of patient compliance to medication can lead to poor health outcomes (Jin et al, 2008). </w:t>
      </w:r>
      <w:r w:rsidR="000E35D7" w:rsidRPr="00403575">
        <w:rPr>
          <w:rFonts w:ascii="Times New Roman" w:hAnsi="Times New Roman" w:cs="Times New Roman"/>
          <w:sz w:val="24"/>
          <w:szCs w:val="24"/>
        </w:rPr>
        <w:t xml:space="preserve"> According to Jimmy and Jose (2011) </w:t>
      </w:r>
      <w:r w:rsidR="00732DA7" w:rsidRPr="00403575">
        <w:rPr>
          <w:rFonts w:ascii="Times New Roman" w:hAnsi="Times New Roman" w:cs="Times New Roman"/>
          <w:sz w:val="24"/>
          <w:szCs w:val="24"/>
        </w:rPr>
        <w:t>adherence therapies is a major determinant of treatment success. The implication is that failure to achieve proper adherence is a serious problem that affect both the patient and the entire healthcare system. Lack of medication adherence is a source of significant mortality and morbidity. Additionally, it leads to a significant rise in healthcare cost. There are several factors that may have an impact on adherence. It’s important for healthcare systems to come up with methodologies of eliminating or reducing barriers to adherence.  An identification of such factors is important since it helps in the improvement of levels of medication adherence.</w:t>
      </w:r>
    </w:p>
    <w:p w14:paraId="6E3A8AE4" w14:textId="22ECF51B" w:rsidR="00732DA7" w:rsidRPr="002140CB" w:rsidRDefault="00732DA7" w:rsidP="008F7C92">
      <w:pPr>
        <w:spacing w:line="480" w:lineRule="auto"/>
        <w:jc w:val="center"/>
        <w:rPr>
          <w:rFonts w:ascii="Times New Roman" w:hAnsi="Times New Roman" w:cs="Times New Roman"/>
          <w:b/>
          <w:sz w:val="24"/>
          <w:szCs w:val="24"/>
        </w:rPr>
      </w:pPr>
      <w:r w:rsidRPr="002140CB">
        <w:rPr>
          <w:rFonts w:ascii="Times New Roman" w:hAnsi="Times New Roman" w:cs="Times New Roman"/>
          <w:b/>
          <w:sz w:val="24"/>
          <w:szCs w:val="24"/>
        </w:rPr>
        <w:t xml:space="preserve">Definition of medication </w:t>
      </w:r>
      <w:r w:rsidR="004F6B0A" w:rsidRPr="002140CB">
        <w:rPr>
          <w:rFonts w:ascii="Times New Roman" w:hAnsi="Times New Roman" w:cs="Times New Roman"/>
          <w:b/>
          <w:sz w:val="24"/>
          <w:szCs w:val="24"/>
        </w:rPr>
        <w:t>compliance</w:t>
      </w:r>
    </w:p>
    <w:p w14:paraId="3616B584" w14:textId="07D20671" w:rsidR="000E35D7" w:rsidRPr="00403575" w:rsidRDefault="008F7C92" w:rsidP="00EB77CA">
      <w:pPr>
        <w:spacing w:line="480" w:lineRule="auto"/>
        <w:rPr>
          <w:rFonts w:ascii="Times New Roman" w:hAnsi="Times New Roman" w:cs="Times New Roman"/>
          <w:sz w:val="24"/>
          <w:szCs w:val="24"/>
        </w:rPr>
      </w:pPr>
      <w:r w:rsidRPr="00403575">
        <w:rPr>
          <w:rFonts w:ascii="Times New Roman" w:hAnsi="Times New Roman" w:cs="Times New Roman"/>
          <w:sz w:val="24"/>
          <w:szCs w:val="24"/>
        </w:rPr>
        <w:tab/>
        <w:t>Medication adherence is a concept that’s defined by WHO (</w:t>
      </w:r>
      <w:r w:rsidRPr="00403575">
        <w:rPr>
          <w:rFonts w:ascii="Times New Roman" w:hAnsi="Times New Roman" w:cs="Times New Roman"/>
          <w:color w:val="000000"/>
          <w:sz w:val="24"/>
          <w:szCs w:val="24"/>
          <w:shd w:val="clear" w:color="auto" w:fill="FFFFFF"/>
        </w:rPr>
        <w:t>Dobbels et al, 2005</w:t>
      </w:r>
      <w:r w:rsidRPr="00403575">
        <w:rPr>
          <w:rFonts w:ascii="Times New Roman" w:hAnsi="Times New Roman" w:cs="Times New Roman"/>
          <w:sz w:val="24"/>
          <w:szCs w:val="24"/>
        </w:rPr>
        <w:t xml:space="preserve">) as the degree to which an individual behavior corresponds with the clear recommendations from their medical providers. </w:t>
      </w:r>
      <w:r w:rsidR="004F6B0A" w:rsidRPr="00403575">
        <w:rPr>
          <w:rFonts w:ascii="Times New Roman" w:hAnsi="Times New Roman" w:cs="Times New Roman"/>
          <w:sz w:val="24"/>
          <w:szCs w:val="24"/>
        </w:rPr>
        <w:t xml:space="preserve">The difference </w:t>
      </w:r>
      <w:r w:rsidR="00EB77CA" w:rsidRPr="00403575">
        <w:rPr>
          <w:rFonts w:ascii="Times New Roman" w:hAnsi="Times New Roman" w:cs="Times New Roman"/>
          <w:sz w:val="24"/>
          <w:szCs w:val="24"/>
        </w:rPr>
        <w:t>between adherence</w:t>
      </w:r>
      <w:r w:rsidR="004F6B0A" w:rsidRPr="00403575">
        <w:rPr>
          <w:rFonts w:ascii="Times New Roman" w:hAnsi="Times New Roman" w:cs="Times New Roman"/>
          <w:sz w:val="24"/>
          <w:szCs w:val="24"/>
        </w:rPr>
        <w:t xml:space="preserve"> and compliance is that </w:t>
      </w:r>
      <w:r w:rsidR="00EB77CA" w:rsidRPr="00403575">
        <w:rPr>
          <w:rFonts w:ascii="Times New Roman" w:hAnsi="Times New Roman" w:cs="Times New Roman"/>
          <w:sz w:val="24"/>
          <w:szCs w:val="24"/>
        </w:rPr>
        <w:t>compliance</w:t>
      </w:r>
      <w:r w:rsidR="004F6B0A" w:rsidRPr="00403575">
        <w:rPr>
          <w:rFonts w:ascii="Times New Roman" w:hAnsi="Times New Roman" w:cs="Times New Roman"/>
          <w:sz w:val="24"/>
          <w:szCs w:val="24"/>
        </w:rPr>
        <w:t xml:space="preserve"> </w:t>
      </w:r>
      <w:r w:rsidR="00EB77CA" w:rsidRPr="00403575">
        <w:rPr>
          <w:rFonts w:ascii="Times New Roman" w:hAnsi="Times New Roman" w:cs="Times New Roman"/>
          <w:sz w:val="24"/>
          <w:szCs w:val="24"/>
        </w:rPr>
        <w:t xml:space="preserve">is the extent to </w:t>
      </w:r>
      <w:r w:rsidR="00711D0C" w:rsidRPr="00403575">
        <w:rPr>
          <w:rFonts w:ascii="Times New Roman" w:hAnsi="Times New Roman" w:cs="Times New Roman"/>
          <w:sz w:val="24"/>
          <w:szCs w:val="24"/>
        </w:rPr>
        <w:t>which a</w:t>
      </w:r>
      <w:r w:rsidR="00EB77CA" w:rsidRPr="00403575">
        <w:rPr>
          <w:rFonts w:ascii="Times New Roman" w:hAnsi="Times New Roman" w:cs="Times New Roman"/>
          <w:sz w:val="24"/>
          <w:szCs w:val="24"/>
        </w:rPr>
        <w:t xml:space="preserve"> patient closely matches the recommendations of the prescriber (Morrison et al, 2015). Adherence on the other hand implies the collaboration between physicians and patients for the sake of improving a patient’s health outcomes. The process involves the integration of a physician’s medical opinion and the lifestyle, preference for care and value of patients.</w:t>
      </w:r>
    </w:p>
    <w:p w14:paraId="70835B10" w14:textId="46FF61BD" w:rsidR="00EB77CA" w:rsidRPr="001B5E87" w:rsidRDefault="00EB77CA" w:rsidP="00EB77CA">
      <w:pPr>
        <w:spacing w:line="480" w:lineRule="auto"/>
        <w:jc w:val="center"/>
        <w:rPr>
          <w:rFonts w:ascii="Times New Roman" w:hAnsi="Times New Roman" w:cs="Times New Roman"/>
          <w:b/>
          <w:sz w:val="24"/>
          <w:szCs w:val="24"/>
        </w:rPr>
      </w:pPr>
      <w:r w:rsidRPr="001B5E87">
        <w:rPr>
          <w:rFonts w:ascii="Times New Roman" w:hAnsi="Times New Roman" w:cs="Times New Roman"/>
          <w:b/>
          <w:sz w:val="24"/>
          <w:szCs w:val="24"/>
        </w:rPr>
        <w:t>Methodology</w:t>
      </w:r>
    </w:p>
    <w:p w14:paraId="0C2E6948" w14:textId="1F4A44E8" w:rsidR="00EB77CA" w:rsidRPr="00403575" w:rsidRDefault="00EB77CA" w:rsidP="001B5E87">
      <w:pPr>
        <w:spacing w:line="480" w:lineRule="auto"/>
        <w:rPr>
          <w:rFonts w:ascii="Times New Roman" w:hAnsi="Times New Roman" w:cs="Times New Roman"/>
          <w:sz w:val="24"/>
          <w:szCs w:val="24"/>
        </w:rPr>
      </w:pPr>
      <w:r w:rsidRPr="00403575">
        <w:rPr>
          <w:rFonts w:ascii="Times New Roman" w:hAnsi="Times New Roman" w:cs="Times New Roman"/>
          <w:sz w:val="24"/>
          <w:szCs w:val="24"/>
        </w:rPr>
        <w:lastRenderedPageBreak/>
        <w:tab/>
        <w:t xml:space="preserve">The methodology adopted for the study was the SEMMA knowledge discovery process.  The process involves Sampling, Exploration, data Modification, Modeling and Assessment. </w:t>
      </w:r>
    </w:p>
    <w:p w14:paraId="49EB033B" w14:textId="1B0517EF" w:rsidR="00420058" w:rsidRPr="001B5E87" w:rsidRDefault="00420058" w:rsidP="00420058">
      <w:pPr>
        <w:spacing w:line="480" w:lineRule="auto"/>
        <w:jc w:val="center"/>
        <w:rPr>
          <w:rFonts w:ascii="Times New Roman" w:hAnsi="Times New Roman" w:cs="Times New Roman"/>
          <w:b/>
          <w:sz w:val="24"/>
          <w:szCs w:val="24"/>
        </w:rPr>
      </w:pPr>
      <w:r w:rsidRPr="001B5E87">
        <w:rPr>
          <w:rFonts w:ascii="Times New Roman" w:hAnsi="Times New Roman" w:cs="Times New Roman"/>
          <w:b/>
          <w:sz w:val="24"/>
          <w:szCs w:val="24"/>
        </w:rPr>
        <w:t>Sample</w:t>
      </w:r>
    </w:p>
    <w:p w14:paraId="77308240" w14:textId="41E8C8A9" w:rsidR="00EB77CA" w:rsidRPr="00403575" w:rsidRDefault="00420058" w:rsidP="00420058">
      <w:pPr>
        <w:spacing w:line="480" w:lineRule="auto"/>
        <w:rPr>
          <w:rFonts w:ascii="Times New Roman" w:hAnsi="Times New Roman" w:cs="Times New Roman"/>
          <w:color w:val="000000" w:themeColor="text1"/>
          <w:sz w:val="24"/>
          <w:szCs w:val="24"/>
          <w:shd w:val="clear" w:color="auto" w:fill="FFFFFF"/>
        </w:rPr>
      </w:pPr>
      <w:r w:rsidRPr="00403575">
        <w:rPr>
          <w:rFonts w:ascii="Times New Roman" w:hAnsi="Times New Roman" w:cs="Times New Roman"/>
          <w:sz w:val="24"/>
          <w:szCs w:val="24"/>
        </w:rPr>
        <w:tab/>
        <w:t xml:space="preserve">The dataset </w:t>
      </w:r>
      <w:r w:rsidR="00EB77CA" w:rsidRPr="00403575">
        <w:rPr>
          <w:rFonts w:ascii="Times New Roman" w:hAnsi="Times New Roman" w:cs="Times New Roman"/>
          <w:sz w:val="24"/>
          <w:szCs w:val="24"/>
        </w:rPr>
        <w:t xml:space="preserve">sample comprised of the HEDIS dataset.  </w:t>
      </w:r>
      <w:r w:rsidR="001B5E87" w:rsidRPr="00403575">
        <w:rPr>
          <w:rFonts w:ascii="Times New Roman" w:hAnsi="Times New Roman" w:cs="Times New Roman"/>
          <w:sz w:val="24"/>
          <w:szCs w:val="24"/>
        </w:rPr>
        <w:t xml:space="preserve">The </w:t>
      </w:r>
      <w:r w:rsidR="001B5E87" w:rsidRPr="00403575">
        <w:rPr>
          <w:rFonts w:ascii="Times New Roman" w:hAnsi="Times New Roman" w:cs="Times New Roman"/>
          <w:color w:val="222222"/>
          <w:sz w:val="24"/>
          <w:szCs w:val="24"/>
          <w:shd w:val="clear" w:color="auto" w:fill="FFFFFF"/>
        </w:rPr>
        <w:t>Healthcare</w:t>
      </w:r>
      <w:r w:rsidR="00EB77CA" w:rsidRPr="00403575">
        <w:rPr>
          <w:rFonts w:ascii="Times New Roman" w:hAnsi="Times New Roman" w:cs="Times New Roman"/>
          <w:color w:val="222222"/>
          <w:sz w:val="24"/>
          <w:szCs w:val="24"/>
          <w:shd w:val="clear" w:color="auto" w:fill="FFFFFF"/>
        </w:rPr>
        <w:t xml:space="preserve"> Effectiveness Data and Information Set (</w:t>
      </w:r>
      <w:r w:rsidR="00EB77CA" w:rsidRPr="00403575">
        <w:rPr>
          <w:rFonts w:ascii="Times New Roman" w:hAnsi="Times New Roman" w:cs="Times New Roman"/>
          <w:b/>
          <w:bCs/>
          <w:color w:val="222222"/>
          <w:sz w:val="24"/>
          <w:szCs w:val="24"/>
          <w:shd w:val="clear" w:color="auto" w:fill="FFFFFF"/>
        </w:rPr>
        <w:t>HEDIS</w:t>
      </w:r>
      <w:r w:rsidR="00EB77CA" w:rsidRPr="00403575">
        <w:rPr>
          <w:rFonts w:ascii="Times New Roman" w:hAnsi="Times New Roman" w:cs="Times New Roman"/>
          <w:color w:val="222222"/>
          <w:sz w:val="24"/>
          <w:szCs w:val="24"/>
          <w:shd w:val="clear" w:color="auto" w:fill="FFFFFF"/>
        </w:rPr>
        <w:t>) is one of most widely used performance improvement</w:t>
      </w:r>
      <w:r w:rsidR="008D71BD" w:rsidRPr="00403575">
        <w:rPr>
          <w:rFonts w:ascii="Times New Roman" w:hAnsi="Times New Roman" w:cs="Times New Roman"/>
          <w:color w:val="222222"/>
          <w:sz w:val="24"/>
          <w:szCs w:val="24"/>
          <w:shd w:val="clear" w:color="auto" w:fill="FFFFFF"/>
        </w:rPr>
        <w:t xml:space="preserve"> methods within the </w:t>
      </w:r>
      <w:r w:rsidR="008D71BD" w:rsidRPr="00403575">
        <w:rPr>
          <w:rFonts w:ascii="Times New Roman" w:hAnsi="Times New Roman" w:cs="Times New Roman"/>
          <w:color w:val="000000" w:themeColor="text1"/>
          <w:sz w:val="24"/>
          <w:szCs w:val="24"/>
          <w:shd w:val="clear" w:color="auto" w:fill="FFFFFF"/>
        </w:rPr>
        <w:t>healthcare sector (</w:t>
      </w:r>
      <w:hyperlink r:id="rId7" w:history="1">
        <w:r w:rsidR="008D71BD" w:rsidRPr="00403575">
          <w:rPr>
            <w:rStyle w:val="Hyperlink"/>
            <w:rFonts w:ascii="Times New Roman" w:hAnsi="Times New Roman" w:cs="Times New Roman"/>
            <w:color w:val="000000" w:themeColor="text1"/>
            <w:sz w:val="24"/>
            <w:szCs w:val="24"/>
            <w:u w:val="none"/>
          </w:rPr>
          <w:t>Weisne</w:t>
        </w:r>
      </w:hyperlink>
      <w:r w:rsidR="008D71BD" w:rsidRPr="00403575">
        <w:rPr>
          <w:rFonts w:ascii="Times New Roman" w:hAnsi="Times New Roman" w:cs="Times New Roman"/>
          <w:color w:val="000000" w:themeColor="text1"/>
          <w:sz w:val="24"/>
          <w:szCs w:val="24"/>
        </w:rPr>
        <w:t>r et al, 2019</w:t>
      </w:r>
      <w:r w:rsidR="008D71BD" w:rsidRPr="00403575">
        <w:rPr>
          <w:rFonts w:ascii="Times New Roman" w:hAnsi="Times New Roman" w:cs="Times New Roman"/>
          <w:color w:val="000000" w:themeColor="text1"/>
          <w:sz w:val="24"/>
          <w:szCs w:val="24"/>
          <w:shd w:val="clear" w:color="auto" w:fill="FFFFFF"/>
        </w:rPr>
        <w:t xml:space="preserve">).  The data in this case was on medical standards and compliance. The primary data set was medical standards and compliance and the secondary variables were age, member months and gender. </w:t>
      </w:r>
    </w:p>
    <w:tbl>
      <w:tblPr>
        <w:tblStyle w:val="TableGrid"/>
        <w:tblW w:w="0" w:type="auto"/>
        <w:tblInd w:w="0" w:type="dxa"/>
        <w:tblLayout w:type="fixed"/>
        <w:tblLook w:val="04A0" w:firstRow="1" w:lastRow="0" w:firstColumn="1" w:lastColumn="0" w:noHBand="0" w:noVBand="1"/>
      </w:tblPr>
      <w:tblGrid>
        <w:gridCol w:w="2324"/>
        <w:gridCol w:w="2325"/>
        <w:gridCol w:w="2325"/>
      </w:tblGrid>
      <w:tr w:rsidR="00935085" w:rsidRPr="00403575" w14:paraId="4829C0E0" w14:textId="77777777" w:rsidTr="005A614F">
        <w:tc>
          <w:tcPr>
            <w:tcW w:w="2324" w:type="dxa"/>
            <w:tcBorders>
              <w:top w:val="single" w:sz="4" w:space="0" w:color="000000"/>
              <w:left w:val="single" w:sz="4" w:space="0" w:color="000000"/>
              <w:bottom w:val="single" w:sz="4" w:space="0" w:color="000000"/>
              <w:right w:val="single" w:sz="4" w:space="0" w:color="000000"/>
            </w:tcBorders>
            <w:hideMark/>
          </w:tcPr>
          <w:p w14:paraId="3126B97C" w14:textId="77777777" w:rsidR="00935085" w:rsidRPr="00403575" w:rsidRDefault="00935085" w:rsidP="005A614F">
            <w:pPr>
              <w:pStyle w:val="TableParagraph"/>
              <w:ind w:left="107"/>
              <w:rPr>
                <w:sz w:val="24"/>
                <w:szCs w:val="24"/>
              </w:rPr>
            </w:pPr>
            <w:r w:rsidRPr="00403575">
              <w:rPr>
                <w:i/>
                <w:sz w:val="24"/>
                <w:szCs w:val="24"/>
              </w:rPr>
              <w:t>Data Set Variable</w:t>
            </w:r>
          </w:p>
        </w:tc>
        <w:tc>
          <w:tcPr>
            <w:tcW w:w="2325" w:type="dxa"/>
            <w:tcBorders>
              <w:top w:val="single" w:sz="4" w:space="0" w:color="000000"/>
              <w:left w:val="single" w:sz="4" w:space="0" w:color="000000"/>
              <w:bottom w:val="single" w:sz="4" w:space="0" w:color="000000"/>
              <w:right w:val="single" w:sz="4" w:space="0" w:color="000000"/>
            </w:tcBorders>
            <w:hideMark/>
          </w:tcPr>
          <w:p w14:paraId="35A690DB" w14:textId="77777777" w:rsidR="00935085" w:rsidRPr="00403575" w:rsidRDefault="00935085" w:rsidP="005A614F">
            <w:pPr>
              <w:rPr>
                <w:rFonts w:ascii="Times New Roman" w:hAnsi="Times New Roman"/>
                <w:i/>
                <w:sz w:val="24"/>
                <w:szCs w:val="24"/>
              </w:rPr>
            </w:pPr>
            <w:r w:rsidRPr="00403575">
              <w:rPr>
                <w:rFonts w:ascii="Times New Roman" w:hAnsi="Times New Roman"/>
                <w:i/>
                <w:sz w:val="24"/>
                <w:szCs w:val="24"/>
              </w:rPr>
              <w:t>Role</w:t>
            </w:r>
          </w:p>
        </w:tc>
        <w:tc>
          <w:tcPr>
            <w:tcW w:w="2325" w:type="dxa"/>
            <w:tcBorders>
              <w:top w:val="single" w:sz="4" w:space="0" w:color="000000"/>
              <w:left w:val="single" w:sz="4" w:space="0" w:color="000000"/>
              <w:bottom w:val="single" w:sz="4" w:space="0" w:color="000000"/>
              <w:right w:val="single" w:sz="4" w:space="0" w:color="000000"/>
            </w:tcBorders>
            <w:hideMark/>
          </w:tcPr>
          <w:p w14:paraId="520FEDFC" w14:textId="77777777" w:rsidR="00935085" w:rsidRPr="00403575" w:rsidRDefault="00935085" w:rsidP="005A614F">
            <w:pPr>
              <w:rPr>
                <w:rFonts w:ascii="Times New Roman" w:hAnsi="Times New Roman"/>
                <w:i/>
                <w:sz w:val="24"/>
                <w:szCs w:val="24"/>
              </w:rPr>
            </w:pPr>
            <w:r w:rsidRPr="00403575">
              <w:rPr>
                <w:rFonts w:ascii="Times New Roman" w:hAnsi="Times New Roman"/>
                <w:i/>
                <w:sz w:val="24"/>
                <w:szCs w:val="24"/>
              </w:rPr>
              <w:t>Level</w:t>
            </w:r>
          </w:p>
        </w:tc>
      </w:tr>
      <w:tr w:rsidR="00935085" w:rsidRPr="00403575" w14:paraId="3899D22F" w14:textId="77777777" w:rsidTr="005A614F">
        <w:tc>
          <w:tcPr>
            <w:tcW w:w="2324" w:type="dxa"/>
            <w:tcBorders>
              <w:top w:val="single" w:sz="4" w:space="0" w:color="000000"/>
              <w:left w:val="single" w:sz="4" w:space="0" w:color="000000"/>
              <w:bottom w:val="single" w:sz="4" w:space="0" w:color="000000"/>
              <w:right w:val="single" w:sz="4" w:space="0" w:color="000000"/>
            </w:tcBorders>
          </w:tcPr>
          <w:p w14:paraId="04D93389" w14:textId="77777777" w:rsidR="00935085" w:rsidRPr="00403575" w:rsidRDefault="00935085" w:rsidP="005A614F">
            <w:pPr>
              <w:pStyle w:val="TableParagraph"/>
              <w:ind w:left="107"/>
              <w:rPr>
                <w:sz w:val="24"/>
                <w:szCs w:val="24"/>
              </w:rPr>
            </w:pPr>
            <w:r w:rsidRPr="00403575">
              <w:rPr>
                <w:sz w:val="24"/>
                <w:szCs w:val="24"/>
              </w:rPr>
              <w:t>Medication management and Compliance</w:t>
            </w:r>
          </w:p>
        </w:tc>
        <w:tc>
          <w:tcPr>
            <w:tcW w:w="2325" w:type="dxa"/>
            <w:tcBorders>
              <w:top w:val="single" w:sz="4" w:space="0" w:color="000000"/>
              <w:left w:val="single" w:sz="4" w:space="0" w:color="000000"/>
              <w:bottom w:val="single" w:sz="4" w:space="0" w:color="000000"/>
              <w:right w:val="single" w:sz="4" w:space="0" w:color="000000"/>
            </w:tcBorders>
          </w:tcPr>
          <w:p w14:paraId="1B9AC04D" w14:textId="77777777" w:rsidR="00935085" w:rsidRPr="00403575" w:rsidRDefault="00935085" w:rsidP="005A614F">
            <w:pPr>
              <w:rPr>
                <w:rFonts w:ascii="Times New Roman" w:hAnsi="Times New Roman"/>
                <w:i/>
                <w:sz w:val="24"/>
                <w:szCs w:val="24"/>
              </w:rPr>
            </w:pPr>
            <w:r w:rsidRPr="00403575">
              <w:rPr>
                <w:rFonts w:ascii="Times New Roman" w:hAnsi="Times New Roman"/>
                <w:i/>
                <w:sz w:val="24"/>
                <w:szCs w:val="24"/>
              </w:rPr>
              <w:t>Secondary variable</w:t>
            </w:r>
          </w:p>
        </w:tc>
        <w:tc>
          <w:tcPr>
            <w:tcW w:w="2325" w:type="dxa"/>
            <w:tcBorders>
              <w:top w:val="single" w:sz="4" w:space="0" w:color="000000"/>
              <w:left w:val="single" w:sz="4" w:space="0" w:color="000000"/>
              <w:bottom w:val="single" w:sz="4" w:space="0" w:color="000000"/>
              <w:right w:val="single" w:sz="4" w:space="0" w:color="000000"/>
            </w:tcBorders>
          </w:tcPr>
          <w:p w14:paraId="1ACFFFEC" w14:textId="77777777" w:rsidR="00935085" w:rsidRPr="00403575" w:rsidRDefault="00935085" w:rsidP="005A614F">
            <w:pPr>
              <w:rPr>
                <w:rFonts w:ascii="Times New Roman" w:hAnsi="Times New Roman"/>
                <w:i/>
                <w:sz w:val="24"/>
                <w:szCs w:val="24"/>
              </w:rPr>
            </w:pPr>
            <w:r w:rsidRPr="00403575">
              <w:rPr>
                <w:rFonts w:ascii="Times New Roman" w:hAnsi="Times New Roman"/>
                <w:i/>
                <w:sz w:val="24"/>
                <w:szCs w:val="24"/>
              </w:rPr>
              <w:t>1</w:t>
            </w:r>
          </w:p>
        </w:tc>
      </w:tr>
      <w:tr w:rsidR="00935085" w:rsidRPr="00403575" w14:paraId="3A62BAC0" w14:textId="77777777" w:rsidTr="005A614F">
        <w:tc>
          <w:tcPr>
            <w:tcW w:w="2324" w:type="dxa"/>
            <w:tcBorders>
              <w:top w:val="single" w:sz="4" w:space="0" w:color="000000"/>
              <w:left w:val="single" w:sz="4" w:space="0" w:color="000000"/>
              <w:bottom w:val="single" w:sz="4" w:space="0" w:color="000000"/>
              <w:right w:val="single" w:sz="4" w:space="0" w:color="000000"/>
            </w:tcBorders>
          </w:tcPr>
          <w:p w14:paraId="00211990" w14:textId="77777777" w:rsidR="00935085" w:rsidRPr="00403575" w:rsidRDefault="00935085" w:rsidP="005A614F">
            <w:pPr>
              <w:pStyle w:val="TableParagraph"/>
              <w:ind w:left="107"/>
              <w:rPr>
                <w:sz w:val="24"/>
                <w:szCs w:val="24"/>
              </w:rPr>
            </w:pPr>
            <w:r w:rsidRPr="00403575">
              <w:rPr>
                <w:sz w:val="24"/>
                <w:szCs w:val="24"/>
              </w:rPr>
              <w:t>Age</w:t>
            </w:r>
          </w:p>
        </w:tc>
        <w:tc>
          <w:tcPr>
            <w:tcW w:w="2325" w:type="dxa"/>
            <w:tcBorders>
              <w:top w:val="single" w:sz="4" w:space="0" w:color="000000"/>
              <w:left w:val="single" w:sz="4" w:space="0" w:color="000000"/>
              <w:bottom w:val="single" w:sz="4" w:space="0" w:color="000000"/>
              <w:right w:val="single" w:sz="4" w:space="0" w:color="000000"/>
            </w:tcBorders>
          </w:tcPr>
          <w:p w14:paraId="10DE5D8A" w14:textId="77777777" w:rsidR="00935085" w:rsidRPr="00403575" w:rsidRDefault="00935085" w:rsidP="005A614F">
            <w:pPr>
              <w:rPr>
                <w:rFonts w:ascii="Times New Roman" w:hAnsi="Times New Roman"/>
                <w:i/>
                <w:sz w:val="24"/>
                <w:szCs w:val="24"/>
              </w:rPr>
            </w:pPr>
            <w:r w:rsidRPr="00403575">
              <w:rPr>
                <w:rFonts w:ascii="Times New Roman" w:hAnsi="Times New Roman"/>
                <w:i/>
                <w:sz w:val="24"/>
                <w:szCs w:val="24"/>
              </w:rPr>
              <w:t>Secondary variable</w:t>
            </w:r>
          </w:p>
        </w:tc>
        <w:tc>
          <w:tcPr>
            <w:tcW w:w="2325" w:type="dxa"/>
            <w:tcBorders>
              <w:top w:val="single" w:sz="4" w:space="0" w:color="000000"/>
              <w:left w:val="single" w:sz="4" w:space="0" w:color="000000"/>
              <w:bottom w:val="single" w:sz="4" w:space="0" w:color="000000"/>
              <w:right w:val="single" w:sz="4" w:space="0" w:color="000000"/>
            </w:tcBorders>
          </w:tcPr>
          <w:p w14:paraId="3DB741C3" w14:textId="77777777" w:rsidR="00935085" w:rsidRPr="00403575" w:rsidRDefault="00935085" w:rsidP="005A614F">
            <w:pPr>
              <w:rPr>
                <w:rFonts w:ascii="Times New Roman" w:hAnsi="Times New Roman"/>
                <w:i/>
                <w:sz w:val="24"/>
                <w:szCs w:val="24"/>
              </w:rPr>
            </w:pPr>
          </w:p>
        </w:tc>
      </w:tr>
      <w:tr w:rsidR="00935085" w:rsidRPr="00403575" w14:paraId="5081DE50" w14:textId="77777777" w:rsidTr="005A614F">
        <w:tc>
          <w:tcPr>
            <w:tcW w:w="2324" w:type="dxa"/>
            <w:tcBorders>
              <w:top w:val="single" w:sz="4" w:space="0" w:color="000000"/>
              <w:left w:val="single" w:sz="4" w:space="0" w:color="000000"/>
              <w:bottom w:val="single" w:sz="4" w:space="0" w:color="000000"/>
              <w:right w:val="single" w:sz="4" w:space="0" w:color="000000"/>
            </w:tcBorders>
          </w:tcPr>
          <w:p w14:paraId="78A32CCA" w14:textId="77777777" w:rsidR="00935085" w:rsidRPr="00403575" w:rsidRDefault="00935085" w:rsidP="005A614F">
            <w:pPr>
              <w:pStyle w:val="TableParagraph"/>
              <w:ind w:left="107"/>
              <w:rPr>
                <w:sz w:val="24"/>
                <w:szCs w:val="24"/>
              </w:rPr>
            </w:pPr>
            <w:r w:rsidRPr="00403575">
              <w:rPr>
                <w:sz w:val="24"/>
                <w:szCs w:val="24"/>
              </w:rPr>
              <w:t>Gender</w:t>
            </w:r>
          </w:p>
        </w:tc>
        <w:tc>
          <w:tcPr>
            <w:tcW w:w="2325" w:type="dxa"/>
            <w:tcBorders>
              <w:top w:val="single" w:sz="4" w:space="0" w:color="000000"/>
              <w:left w:val="single" w:sz="4" w:space="0" w:color="000000"/>
              <w:bottom w:val="single" w:sz="4" w:space="0" w:color="000000"/>
              <w:right w:val="single" w:sz="4" w:space="0" w:color="000000"/>
            </w:tcBorders>
          </w:tcPr>
          <w:p w14:paraId="26FA47CE" w14:textId="77777777" w:rsidR="00935085" w:rsidRPr="00403575" w:rsidRDefault="00935085" w:rsidP="005A614F">
            <w:pPr>
              <w:rPr>
                <w:rFonts w:ascii="Times New Roman" w:hAnsi="Times New Roman"/>
                <w:i/>
                <w:sz w:val="24"/>
                <w:szCs w:val="24"/>
              </w:rPr>
            </w:pPr>
            <w:r w:rsidRPr="00403575">
              <w:rPr>
                <w:rFonts w:ascii="Times New Roman" w:hAnsi="Times New Roman"/>
                <w:i/>
                <w:sz w:val="24"/>
                <w:szCs w:val="24"/>
              </w:rPr>
              <w:t>Secondary variable</w:t>
            </w:r>
          </w:p>
        </w:tc>
        <w:tc>
          <w:tcPr>
            <w:tcW w:w="2325" w:type="dxa"/>
            <w:tcBorders>
              <w:top w:val="single" w:sz="4" w:space="0" w:color="000000"/>
              <w:left w:val="single" w:sz="4" w:space="0" w:color="000000"/>
              <w:bottom w:val="single" w:sz="4" w:space="0" w:color="000000"/>
              <w:right w:val="single" w:sz="4" w:space="0" w:color="000000"/>
            </w:tcBorders>
          </w:tcPr>
          <w:p w14:paraId="6AA17E94" w14:textId="77777777" w:rsidR="00935085" w:rsidRPr="00403575" w:rsidRDefault="00935085" w:rsidP="005A614F">
            <w:pPr>
              <w:rPr>
                <w:rFonts w:ascii="Times New Roman" w:hAnsi="Times New Roman"/>
                <w:i/>
                <w:sz w:val="24"/>
                <w:szCs w:val="24"/>
              </w:rPr>
            </w:pPr>
          </w:p>
        </w:tc>
      </w:tr>
      <w:tr w:rsidR="00935085" w:rsidRPr="00403575" w14:paraId="63022286" w14:textId="77777777" w:rsidTr="005A614F">
        <w:tc>
          <w:tcPr>
            <w:tcW w:w="2324" w:type="dxa"/>
            <w:tcBorders>
              <w:top w:val="single" w:sz="4" w:space="0" w:color="000000"/>
              <w:left w:val="single" w:sz="4" w:space="0" w:color="000000"/>
              <w:bottom w:val="single" w:sz="4" w:space="0" w:color="000000"/>
              <w:right w:val="single" w:sz="4" w:space="0" w:color="000000"/>
            </w:tcBorders>
          </w:tcPr>
          <w:p w14:paraId="213A8825" w14:textId="77777777" w:rsidR="00935085" w:rsidRPr="00403575" w:rsidRDefault="00935085" w:rsidP="005A614F">
            <w:pPr>
              <w:pStyle w:val="TableParagraph"/>
              <w:ind w:left="107"/>
              <w:rPr>
                <w:sz w:val="24"/>
                <w:szCs w:val="24"/>
              </w:rPr>
            </w:pPr>
            <w:r w:rsidRPr="00403575">
              <w:rPr>
                <w:sz w:val="24"/>
                <w:szCs w:val="24"/>
              </w:rPr>
              <w:t>MemberMonths</w:t>
            </w:r>
          </w:p>
        </w:tc>
        <w:tc>
          <w:tcPr>
            <w:tcW w:w="2325" w:type="dxa"/>
            <w:tcBorders>
              <w:top w:val="single" w:sz="4" w:space="0" w:color="000000"/>
              <w:left w:val="single" w:sz="4" w:space="0" w:color="000000"/>
              <w:bottom w:val="single" w:sz="4" w:space="0" w:color="000000"/>
              <w:right w:val="single" w:sz="4" w:space="0" w:color="000000"/>
            </w:tcBorders>
          </w:tcPr>
          <w:p w14:paraId="5D85A830" w14:textId="77777777" w:rsidR="00935085" w:rsidRPr="00403575" w:rsidRDefault="00935085" w:rsidP="005A614F">
            <w:pPr>
              <w:rPr>
                <w:rFonts w:ascii="Times New Roman" w:hAnsi="Times New Roman"/>
                <w:i/>
                <w:sz w:val="24"/>
                <w:szCs w:val="24"/>
              </w:rPr>
            </w:pPr>
            <w:r w:rsidRPr="00403575">
              <w:rPr>
                <w:rFonts w:ascii="Times New Roman" w:hAnsi="Times New Roman"/>
                <w:i/>
                <w:sz w:val="24"/>
                <w:szCs w:val="24"/>
              </w:rPr>
              <w:t>Secondary variable</w:t>
            </w:r>
          </w:p>
        </w:tc>
        <w:tc>
          <w:tcPr>
            <w:tcW w:w="2325" w:type="dxa"/>
            <w:tcBorders>
              <w:top w:val="single" w:sz="4" w:space="0" w:color="000000"/>
              <w:left w:val="single" w:sz="4" w:space="0" w:color="000000"/>
              <w:bottom w:val="single" w:sz="4" w:space="0" w:color="000000"/>
              <w:right w:val="single" w:sz="4" w:space="0" w:color="000000"/>
            </w:tcBorders>
          </w:tcPr>
          <w:p w14:paraId="6B9234D8" w14:textId="77777777" w:rsidR="00935085" w:rsidRPr="00403575" w:rsidRDefault="00935085" w:rsidP="005A614F">
            <w:pPr>
              <w:rPr>
                <w:rFonts w:ascii="Times New Roman" w:hAnsi="Times New Roman"/>
                <w:i/>
                <w:sz w:val="24"/>
                <w:szCs w:val="24"/>
              </w:rPr>
            </w:pPr>
          </w:p>
        </w:tc>
      </w:tr>
      <w:tr w:rsidR="00935085" w:rsidRPr="00403575" w14:paraId="148FA83B" w14:textId="77777777" w:rsidTr="005A614F">
        <w:tc>
          <w:tcPr>
            <w:tcW w:w="2324" w:type="dxa"/>
            <w:tcBorders>
              <w:top w:val="single" w:sz="4" w:space="0" w:color="000000"/>
              <w:left w:val="single" w:sz="4" w:space="0" w:color="000000"/>
              <w:bottom w:val="single" w:sz="4" w:space="0" w:color="000000"/>
              <w:right w:val="single" w:sz="4" w:space="0" w:color="000000"/>
            </w:tcBorders>
          </w:tcPr>
          <w:p w14:paraId="63F369C9" w14:textId="77777777" w:rsidR="00935085" w:rsidRPr="00403575" w:rsidRDefault="00935085" w:rsidP="005A614F">
            <w:pPr>
              <w:pStyle w:val="TableParagraph"/>
              <w:ind w:left="107"/>
              <w:rPr>
                <w:sz w:val="24"/>
                <w:szCs w:val="24"/>
              </w:rPr>
            </w:pPr>
          </w:p>
        </w:tc>
        <w:tc>
          <w:tcPr>
            <w:tcW w:w="2325" w:type="dxa"/>
            <w:tcBorders>
              <w:top w:val="single" w:sz="4" w:space="0" w:color="000000"/>
              <w:left w:val="single" w:sz="4" w:space="0" w:color="000000"/>
              <w:bottom w:val="single" w:sz="4" w:space="0" w:color="000000"/>
              <w:right w:val="single" w:sz="4" w:space="0" w:color="000000"/>
            </w:tcBorders>
          </w:tcPr>
          <w:p w14:paraId="0C2E2E92" w14:textId="77777777" w:rsidR="00935085" w:rsidRPr="00403575" w:rsidRDefault="00935085" w:rsidP="005A614F">
            <w:pPr>
              <w:rPr>
                <w:rFonts w:ascii="Times New Roman" w:hAnsi="Times New Roman"/>
                <w:i/>
                <w:sz w:val="24"/>
                <w:szCs w:val="24"/>
              </w:rPr>
            </w:pPr>
          </w:p>
        </w:tc>
        <w:tc>
          <w:tcPr>
            <w:tcW w:w="2325" w:type="dxa"/>
            <w:tcBorders>
              <w:top w:val="single" w:sz="4" w:space="0" w:color="000000"/>
              <w:left w:val="single" w:sz="4" w:space="0" w:color="000000"/>
              <w:bottom w:val="single" w:sz="4" w:space="0" w:color="000000"/>
              <w:right w:val="single" w:sz="4" w:space="0" w:color="000000"/>
            </w:tcBorders>
          </w:tcPr>
          <w:p w14:paraId="62BD55C1" w14:textId="77777777" w:rsidR="00935085" w:rsidRPr="00403575" w:rsidRDefault="00935085" w:rsidP="005A614F">
            <w:pPr>
              <w:rPr>
                <w:rFonts w:ascii="Times New Roman" w:hAnsi="Times New Roman"/>
                <w:i/>
                <w:sz w:val="24"/>
                <w:szCs w:val="24"/>
              </w:rPr>
            </w:pPr>
          </w:p>
        </w:tc>
      </w:tr>
    </w:tbl>
    <w:p w14:paraId="7DEE119D" w14:textId="77777777" w:rsidR="00935085" w:rsidRPr="00403575" w:rsidRDefault="00935085" w:rsidP="00420058">
      <w:pPr>
        <w:spacing w:line="480" w:lineRule="auto"/>
        <w:rPr>
          <w:rFonts w:ascii="Times New Roman" w:hAnsi="Times New Roman" w:cs="Times New Roman"/>
          <w:color w:val="000000" w:themeColor="text1"/>
          <w:sz w:val="24"/>
          <w:szCs w:val="24"/>
        </w:rPr>
      </w:pPr>
    </w:p>
    <w:p w14:paraId="55292E7D" w14:textId="311B78F6" w:rsidR="002D42F5" w:rsidRPr="00403575" w:rsidRDefault="00935085" w:rsidP="00935085">
      <w:pPr>
        <w:spacing w:line="480" w:lineRule="auto"/>
        <w:jc w:val="center"/>
        <w:rPr>
          <w:rFonts w:ascii="Times New Roman" w:hAnsi="Times New Roman" w:cs="Times New Roman"/>
          <w:sz w:val="24"/>
          <w:szCs w:val="24"/>
        </w:rPr>
      </w:pPr>
      <w:r w:rsidRPr="00403575">
        <w:rPr>
          <w:rFonts w:ascii="Times New Roman" w:hAnsi="Times New Roman" w:cs="Times New Roman"/>
          <w:sz w:val="24"/>
          <w:szCs w:val="24"/>
        </w:rPr>
        <w:t>The analysis/results</w:t>
      </w:r>
    </w:p>
    <w:p w14:paraId="34DFA47B" w14:textId="737AA370" w:rsidR="001D5393" w:rsidRPr="00403575" w:rsidRDefault="001D5393" w:rsidP="00935085">
      <w:pPr>
        <w:spacing w:line="480" w:lineRule="auto"/>
        <w:jc w:val="center"/>
        <w:rPr>
          <w:rFonts w:ascii="Times New Roman" w:hAnsi="Times New Roman" w:cs="Times New Roman"/>
          <w:sz w:val="24"/>
          <w:szCs w:val="24"/>
        </w:rPr>
      </w:pPr>
      <w:r w:rsidRPr="00403575">
        <w:rPr>
          <w:rFonts w:ascii="Times New Roman" w:hAnsi="Times New Roman" w:cs="Times New Roman"/>
          <w:noProof/>
          <w:sz w:val="24"/>
          <w:szCs w:val="24"/>
          <w:lang w:val="en-GB" w:eastAsia="en-GB"/>
        </w:rPr>
        <w:drawing>
          <wp:inline distT="0" distB="0" distL="0" distR="0" wp14:anchorId="5F58125E" wp14:editId="2343DE44">
            <wp:extent cx="3307283" cy="2428875"/>
            <wp:effectExtent l="0" t="0" r="7620" b="0"/>
            <wp:docPr id="1" name="Picture 1" descr="C:\Users\admin\AppData\Local\Microsoft\Windows\Temporary Internet Files\Content.MSO\B8F300E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Temporary Internet Files\Content.MSO\B8F300E6.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21526" cy="2439335"/>
                    </a:xfrm>
                    <a:prstGeom prst="rect">
                      <a:avLst/>
                    </a:prstGeom>
                    <a:noFill/>
                    <a:ln>
                      <a:noFill/>
                    </a:ln>
                  </pic:spPr>
                </pic:pic>
              </a:graphicData>
            </a:graphic>
          </wp:inline>
        </w:drawing>
      </w:r>
    </w:p>
    <w:p w14:paraId="42DCEEBB" w14:textId="309679BA" w:rsidR="001D5393" w:rsidRPr="00403575" w:rsidRDefault="001D5393" w:rsidP="002D42F5">
      <w:pPr>
        <w:spacing w:line="480" w:lineRule="auto"/>
        <w:rPr>
          <w:rFonts w:ascii="Times New Roman" w:hAnsi="Times New Roman" w:cs="Times New Roman"/>
          <w:sz w:val="24"/>
          <w:szCs w:val="24"/>
        </w:rPr>
      </w:pPr>
      <w:r w:rsidRPr="00403575">
        <w:rPr>
          <w:rFonts w:ascii="Times New Roman" w:hAnsi="Times New Roman" w:cs="Times New Roman"/>
          <w:noProof/>
          <w:sz w:val="24"/>
          <w:szCs w:val="24"/>
          <w:lang w:val="en-GB" w:eastAsia="en-GB"/>
        </w:rPr>
        <w:lastRenderedPageBreak/>
        <w:drawing>
          <wp:inline distT="0" distB="0" distL="0" distR="0" wp14:anchorId="41272FA9" wp14:editId="5E2715B4">
            <wp:extent cx="4305300" cy="3161820"/>
            <wp:effectExtent l="0" t="0" r="0" b="635"/>
            <wp:docPr id="2" name="Picture 2" descr="C:\Users\admin\AppData\Local\Microsoft\Windows\Temporary Internet Files\Content.MSO\4927A5E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Microsoft\Windows\Temporary Internet Files\Content.MSO\4927A5E4.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09187" cy="3164675"/>
                    </a:xfrm>
                    <a:prstGeom prst="rect">
                      <a:avLst/>
                    </a:prstGeom>
                    <a:noFill/>
                    <a:ln>
                      <a:noFill/>
                    </a:ln>
                  </pic:spPr>
                </pic:pic>
              </a:graphicData>
            </a:graphic>
          </wp:inline>
        </w:drawing>
      </w:r>
    </w:p>
    <w:p w14:paraId="1E5E6E24" w14:textId="72056178" w:rsidR="002D42F5" w:rsidRPr="00403575" w:rsidRDefault="001D5393" w:rsidP="002D42F5">
      <w:pPr>
        <w:spacing w:line="480" w:lineRule="auto"/>
        <w:rPr>
          <w:rFonts w:ascii="Times New Roman" w:hAnsi="Times New Roman" w:cs="Times New Roman"/>
          <w:sz w:val="24"/>
          <w:szCs w:val="24"/>
        </w:rPr>
      </w:pPr>
      <w:r w:rsidRPr="00403575">
        <w:rPr>
          <w:rFonts w:ascii="Times New Roman" w:hAnsi="Times New Roman" w:cs="Times New Roman"/>
          <w:noProof/>
          <w:sz w:val="24"/>
          <w:szCs w:val="24"/>
          <w:lang w:val="en-GB" w:eastAsia="en-GB"/>
        </w:rPr>
        <w:drawing>
          <wp:inline distT="0" distB="0" distL="0" distR="0" wp14:anchorId="6D2D3D51" wp14:editId="0E62A33E">
            <wp:extent cx="4324350" cy="1822603"/>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3160" cy="1826316"/>
                    </a:xfrm>
                    <a:prstGeom prst="rect">
                      <a:avLst/>
                    </a:prstGeom>
                    <a:noFill/>
                    <a:ln>
                      <a:noFill/>
                    </a:ln>
                  </pic:spPr>
                </pic:pic>
              </a:graphicData>
            </a:graphic>
          </wp:inline>
        </w:drawing>
      </w:r>
    </w:p>
    <w:p w14:paraId="4185506C" w14:textId="1C019118" w:rsidR="002D42F5" w:rsidRPr="001B5E87" w:rsidRDefault="00935085" w:rsidP="00935085">
      <w:pPr>
        <w:spacing w:line="480" w:lineRule="auto"/>
        <w:jc w:val="center"/>
        <w:rPr>
          <w:rFonts w:ascii="Times New Roman" w:hAnsi="Times New Roman" w:cs="Times New Roman"/>
          <w:b/>
          <w:sz w:val="24"/>
          <w:szCs w:val="24"/>
        </w:rPr>
      </w:pPr>
      <w:r w:rsidRPr="001B5E87">
        <w:rPr>
          <w:rFonts w:ascii="Times New Roman" w:hAnsi="Times New Roman" w:cs="Times New Roman"/>
          <w:b/>
          <w:sz w:val="24"/>
          <w:szCs w:val="24"/>
        </w:rPr>
        <w:t>Results</w:t>
      </w:r>
    </w:p>
    <w:p w14:paraId="7658B9B3" w14:textId="1E4A2FB1" w:rsidR="008D11F5" w:rsidRPr="00403575" w:rsidRDefault="00935085" w:rsidP="00403575">
      <w:pPr>
        <w:spacing w:line="480" w:lineRule="auto"/>
        <w:rPr>
          <w:rFonts w:ascii="Times New Roman" w:hAnsi="Times New Roman" w:cs="Times New Roman"/>
          <w:sz w:val="24"/>
          <w:szCs w:val="24"/>
        </w:rPr>
      </w:pPr>
      <w:r w:rsidRPr="00403575">
        <w:rPr>
          <w:rFonts w:ascii="Times New Roman" w:hAnsi="Times New Roman" w:cs="Times New Roman"/>
          <w:sz w:val="24"/>
          <w:szCs w:val="24"/>
        </w:rPr>
        <w:tab/>
        <w:t xml:space="preserve">The analysis revealed that the most important factor in the determination of compliance from all the variables provided was member months. The most significant </w:t>
      </w:r>
      <w:r w:rsidR="001B5E87" w:rsidRPr="00403575">
        <w:rPr>
          <w:rFonts w:ascii="Times New Roman" w:hAnsi="Times New Roman" w:cs="Times New Roman"/>
          <w:sz w:val="24"/>
          <w:szCs w:val="24"/>
        </w:rPr>
        <w:t>months were</w:t>
      </w:r>
      <w:r w:rsidRPr="00403575">
        <w:rPr>
          <w:rFonts w:ascii="Times New Roman" w:hAnsi="Times New Roman" w:cs="Times New Roman"/>
          <w:sz w:val="24"/>
          <w:szCs w:val="24"/>
        </w:rPr>
        <w:t xml:space="preserve"> 3</w:t>
      </w:r>
      <w:r w:rsidR="001B5E87" w:rsidRPr="00403575">
        <w:rPr>
          <w:rFonts w:ascii="Times New Roman" w:hAnsi="Times New Roman" w:cs="Times New Roman"/>
          <w:sz w:val="24"/>
          <w:szCs w:val="24"/>
        </w:rPr>
        <w:t>, 6,7,8,9</w:t>
      </w:r>
      <w:r w:rsidRPr="00403575">
        <w:rPr>
          <w:rFonts w:ascii="Times New Roman" w:hAnsi="Times New Roman" w:cs="Times New Roman"/>
          <w:sz w:val="24"/>
          <w:szCs w:val="24"/>
        </w:rPr>
        <w:t xml:space="preserve"> and </w:t>
      </w:r>
      <w:r w:rsidR="00403575" w:rsidRPr="00403575">
        <w:rPr>
          <w:rFonts w:ascii="Times New Roman" w:hAnsi="Times New Roman" w:cs="Times New Roman"/>
          <w:sz w:val="24"/>
          <w:szCs w:val="24"/>
        </w:rPr>
        <w:t>12.</w:t>
      </w:r>
      <w:r w:rsidR="008D11F5" w:rsidRPr="00403575">
        <w:rPr>
          <w:rFonts w:ascii="Times New Roman" w:hAnsi="Times New Roman" w:cs="Times New Roman"/>
          <w:sz w:val="24"/>
          <w:szCs w:val="24"/>
        </w:rPr>
        <w:t xml:space="preserve">The results indicate that medication </w:t>
      </w:r>
      <w:r w:rsidR="00403575" w:rsidRPr="00403575">
        <w:rPr>
          <w:rFonts w:ascii="Times New Roman" w:hAnsi="Times New Roman" w:cs="Times New Roman"/>
          <w:sz w:val="24"/>
          <w:szCs w:val="24"/>
        </w:rPr>
        <w:t>compliance</w:t>
      </w:r>
      <w:r w:rsidR="008D11F5" w:rsidRPr="00403575">
        <w:rPr>
          <w:rFonts w:ascii="Times New Roman" w:hAnsi="Times New Roman" w:cs="Times New Roman"/>
          <w:sz w:val="24"/>
          <w:szCs w:val="24"/>
        </w:rPr>
        <w:t xml:space="preserve"> increased for all participants (Raiff et al., 2016).  This means that patients had an increased </w:t>
      </w:r>
      <w:r w:rsidR="00403575" w:rsidRPr="00403575">
        <w:rPr>
          <w:rFonts w:ascii="Times New Roman" w:hAnsi="Times New Roman" w:cs="Times New Roman"/>
          <w:sz w:val="24"/>
          <w:szCs w:val="24"/>
        </w:rPr>
        <w:t>compliance</w:t>
      </w:r>
      <w:r w:rsidR="008D11F5" w:rsidRPr="00403575">
        <w:rPr>
          <w:rFonts w:ascii="Times New Roman" w:hAnsi="Times New Roman" w:cs="Times New Roman"/>
          <w:sz w:val="24"/>
          <w:szCs w:val="24"/>
        </w:rPr>
        <w:t xml:space="preserve"> to their oral antidiabetic medications increases when there are text message reminders sent to the patients in conjunction with their forgetting to take the medication.</w:t>
      </w:r>
    </w:p>
    <w:p w14:paraId="712B2A47" w14:textId="37A1E15B" w:rsidR="00403575" w:rsidRPr="001B5E87" w:rsidRDefault="00403575" w:rsidP="00403575">
      <w:pPr>
        <w:spacing w:line="480" w:lineRule="auto"/>
        <w:jc w:val="center"/>
        <w:rPr>
          <w:rFonts w:ascii="Times New Roman" w:hAnsi="Times New Roman" w:cs="Times New Roman"/>
          <w:b/>
          <w:sz w:val="24"/>
          <w:szCs w:val="24"/>
        </w:rPr>
      </w:pPr>
      <w:r w:rsidRPr="001B5E87">
        <w:rPr>
          <w:rFonts w:ascii="Times New Roman" w:hAnsi="Times New Roman" w:cs="Times New Roman"/>
          <w:b/>
          <w:sz w:val="24"/>
          <w:szCs w:val="24"/>
        </w:rPr>
        <w:lastRenderedPageBreak/>
        <w:t>Recommendation</w:t>
      </w:r>
    </w:p>
    <w:p w14:paraId="44D9096E" w14:textId="77777777" w:rsidR="008D11F5" w:rsidRPr="00403575" w:rsidRDefault="008D11F5" w:rsidP="008D11F5">
      <w:pPr>
        <w:spacing w:line="480" w:lineRule="auto"/>
        <w:ind w:firstLine="720"/>
        <w:rPr>
          <w:rFonts w:ascii="Times New Roman" w:hAnsi="Times New Roman" w:cs="Times New Roman"/>
          <w:sz w:val="24"/>
          <w:szCs w:val="24"/>
        </w:rPr>
      </w:pPr>
      <w:r w:rsidRPr="00403575">
        <w:rPr>
          <w:rFonts w:ascii="Times New Roman" w:hAnsi="Times New Roman" w:cs="Times New Roman"/>
          <w:sz w:val="24"/>
          <w:szCs w:val="24"/>
        </w:rPr>
        <w:t>Because the results indicate that medication adherence increased for all participants when there were text message reminders that were sent to them, there are implications for health care providers.  One of the implications is that providers should look into establishing some type of text message reminder system for their adult diabetic patients.  Having this type of system in place can help to make sure that patients can have high levels of medication adherence for their antidiabetic oral medication.</w:t>
      </w:r>
    </w:p>
    <w:p w14:paraId="554B8F1C" w14:textId="209B00A5" w:rsidR="008D11F5" w:rsidRPr="00403575" w:rsidRDefault="008D11F5" w:rsidP="008D11F5">
      <w:pPr>
        <w:spacing w:line="480" w:lineRule="auto"/>
        <w:ind w:firstLine="720"/>
        <w:rPr>
          <w:rFonts w:ascii="Times New Roman" w:hAnsi="Times New Roman" w:cs="Times New Roman"/>
          <w:sz w:val="24"/>
          <w:szCs w:val="24"/>
        </w:rPr>
      </w:pPr>
      <w:r w:rsidRPr="00403575">
        <w:rPr>
          <w:rFonts w:ascii="Times New Roman" w:hAnsi="Times New Roman" w:cs="Times New Roman"/>
          <w:sz w:val="24"/>
          <w:szCs w:val="24"/>
        </w:rPr>
        <w:t xml:space="preserve">A second implication based on these findings is that providers should begin to have open dialogues with their patients about the text message reminders.  The reason for </w:t>
      </w:r>
      <w:r w:rsidR="00C25A40" w:rsidRPr="00403575">
        <w:rPr>
          <w:rFonts w:ascii="Times New Roman" w:hAnsi="Times New Roman" w:cs="Times New Roman"/>
          <w:sz w:val="24"/>
          <w:szCs w:val="24"/>
        </w:rPr>
        <w:t>this is</w:t>
      </w:r>
      <w:r w:rsidRPr="00403575">
        <w:rPr>
          <w:rFonts w:ascii="Times New Roman" w:hAnsi="Times New Roman" w:cs="Times New Roman"/>
          <w:sz w:val="24"/>
          <w:szCs w:val="24"/>
        </w:rPr>
        <w:t xml:space="preserve"> that the reminders are useless if the patient does not have a phone that is capable of receiving text messages.  The provider should have open communications with the adult patients to determine whether or not this type of intervention would be effective with their adult diabetic patients.  If there are similar conditions, as compared to the inclusionary criteria that is present within this study, then it is an intervention that the providers might want to consider with their patients.</w:t>
      </w:r>
    </w:p>
    <w:p w14:paraId="4EBE1052" w14:textId="0371EA69" w:rsidR="008D11F5" w:rsidRPr="00403575" w:rsidRDefault="008D11F5" w:rsidP="008D11F5">
      <w:pPr>
        <w:spacing w:line="480" w:lineRule="auto"/>
        <w:ind w:firstLine="720"/>
        <w:rPr>
          <w:rFonts w:ascii="Times New Roman" w:hAnsi="Times New Roman" w:cs="Times New Roman"/>
          <w:sz w:val="24"/>
          <w:szCs w:val="24"/>
        </w:rPr>
      </w:pPr>
      <w:r w:rsidRPr="00403575">
        <w:rPr>
          <w:rFonts w:ascii="Times New Roman" w:hAnsi="Times New Roman" w:cs="Times New Roman"/>
          <w:sz w:val="24"/>
          <w:szCs w:val="24"/>
        </w:rPr>
        <w:t xml:space="preserve">A third implication that is created through the findings is that providers and their team should have a conversation with their patients about the importance of medication </w:t>
      </w:r>
      <w:r w:rsidR="00403575" w:rsidRPr="00403575">
        <w:rPr>
          <w:rFonts w:ascii="Times New Roman" w:hAnsi="Times New Roman" w:cs="Times New Roman"/>
          <w:sz w:val="24"/>
          <w:szCs w:val="24"/>
        </w:rPr>
        <w:t>compliance</w:t>
      </w:r>
      <w:r w:rsidRPr="00403575">
        <w:rPr>
          <w:rFonts w:ascii="Times New Roman" w:hAnsi="Times New Roman" w:cs="Times New Roman"/>
          <w:sz w:val="24"/>
          <w:szCs w:val="24"/>
        </w:rPr>
        <w:t xml:space="preserve">  One might think that since the patients are adults, as opposed to children, that there is not a need to talk to them about medication adherence because they assume that the adults are going to take the medications on time and appropriately.  </w:t>
      </w:r>
      <w:r w:rsidR="00772BC7" w:rsidRPr="00403575">
        <w:rPr>
          <w:rFonts w:ascii="Times New Roman" w:hAnsi="Times New Roman" w:cs="Times New Roman"/>
          <w:sz w:val="24"/>
          <w:szCs w:val="24"/>
        </w:rPr>
        <w:t>But</w:t>
      </w:r>
      <w:r w:rsidRPr="00403575">
        <w:rPr>
          <w:rFonts w:ascii="Times New Roman" w:hAnsi="Times New Roman" w:cs="Times New Roman"/>
          <w:sz w:val="24"/>
          <w:szCs w:val="24"/>
        </w:rPr>
        <w:t xml:space="preserve"> it is definitely worth having a conversation about the importance of medication adherence and the effects or consequences of not adhering to the medication plan.</w:t>
      </w:r>
    </w:p>
    <w:p w14:paraId="796121C6" w14:textId="211FDD5D" w:rsidR="00403575" w:rsidRPr="001B5E87" w:rsidRDefault="00403575" w:rsidP="00403575">
      <w:pPr>
        <w:spacing w:line="480" w:lineRule="auto"/>
        <w:jc w:val="center"/>
        <w:rPr>
          <w:rFonts w:ascii="Times New Roman" w:hAnsi="Times New Roman" w:cs="Times New Roman"/>
          <w:b/>
          <w:sz w:val="24"/>
          <w:szCs w:val="24"/>
        </w:rPr>
      </w:pPr>
      <w:r w:rsidRPr="001B5E87">
        <w:rPr>
          <w:rFonts w:ascii="Times New Roman" w:hAnsi="Times New Roman" w:cs="Times New Roman"/>
          <w:b/>
          <w:sz w:val="24"/>
          <w:szCs w:val="24"/>
        </w:rPr>
        <w:t>Conclusion</w:t>
      </w:r>
    </w:p>
    <w:p w14:paraId="5E7BF387" w14:textId="39F04F04" w:rsidR="00403575" w:rsidRDefault="00403575" w:rsidP="00403575">
      <w:pPr>
        <w:spacing w:line="480" w:lineRule="auto"/>
        <w:rPr>
          <w:rFonts w:ascii="Times New Roman" w:hAnsi="Times New Roman" w:cs="Times New Roman"/>
          <w:sz w:val="24"/>
          <w:szCs w:val="24"/>
        </w:rPr>
      </w:pPr>
      <w:r w:rsidRPr="00403575">
        <w:rPr>
          <w:rFonts w:ascii="Times New Roman" w:hAnsi="Times New Roman" w:cs="Times New Roman"/>
          <w:sz w:val="24"/>
          <w:szCs w:val="24"/>
        </w:rPr>
        <w:lastRenderedPageBreak/>
        <w:tab/>
        <w:t xml:space="preserve">The analysis revealed that </w:t>
      </w:r>
      <w:r>
        <w:rPr>
          <w:rFonts w:ascii="Times New Roman" w:hAnsi="Times New Roman" w:cs="Times New Roman"/>
          <w:sz w:val="24"/>
          <w:szCs w:val="24"/>
        </w:rPr>
        <w:t>M</w:t>
      </w:r>
      <w:r w:rsidRPr="00403575">
        <w:rPr>
          <w:rFonts w:ascii="Times New Roman" w:hAnsi="Times New Roman" w:cs="Times New Roman"/>
          <w:sz w:val="24"/>
          <w:szCs w:val="24"/>
        </w:rPr>
        <w:t xml:space="preserve">emberMonths was the best predictor of medical management and compliance and the most significant months in the achievement of compliance are  3,6,7,8,9 and 12. </w:t>
      </w:r>
      <w:r w:rsidR="00772BC7">
        <w:rPr>
          <w:rFonts w:ascii="Times New Roman" w:hAnsi="Times New Roman" w:cs="Times New Roman"/>
          <w:sz w:val="24"/>
          <w:szCs w:val="24"/>
        </w:rPr>
        <w:t xml:space="preserve"> Therefore, it means that individuals with 3, 6, 7, 8, and 9 have either the highest rate of compliance.  Care must therefore be taken to ensure uniform compliance for patients whose membership falls under the missing months/periods.</w:t>
      </w:r>
    </w:p>
    <w:p w14:paraId="111CF933" w14:textId="77777777" w:rsidR="00D12CE2" w:rsidRDefault="00D12CE2" w:rsidP="00772BC7">
      <w:pPr>
        <w:spacing w:line="480" w:lineRule="auto"/>
        <w:jc w:val="center"/>
        <w:rPr>
          <w:rFonts w:ascii="Times New Roman" w:hAnsi="Times New Roman" w:cs="Times New Roman"/>
          <w:sz w:val="24"/>
          <w:szCs w:val="24"/>
        </w:rPr>
      </w:pPr>
    </w:p>
    <w:p w14:paraId="1F90E309" w14:textId="77777777" w:rsidR="00D12CE2" w:rsidRDefault="00D12CE2" w:rsidP="00772BC7">
      <w:pPr>
        <w:spacing w:line="480" w:lineRule="auto"/>
        <w:jc w:val="center"/>
        <w:rPr>
          <w:rFonts w:ascii="Times New Roman" w:hAnsi="Times New Roman" w:cs="Times New Roman"/>
          <w:sz w:val="24"/>
          <w:szCs w:val="24"/>
        </w:rPr>
      </w:pPr>
    </w:p>
    <w:p w14:paraId="14628B04" w14:textId="77777777" w:rsidR="00D12CE2" w:rsidRDefault="00D12CE2" w:rsidP="00772BC7">
      <w:pPr>
        <w:spacing w:line="480" w:lineRule="auto"/>
        <w:jc w:val="center"/>
        <w:rPr>
          <w:rFonts w:ascii="Times New Roman" w:hAnsi="Times New Roman" w:cs="Times New Roman"/>
          <w:sz w:val="24"/>
          <w:szCs w:val="24"/>
        </w:rPr>
      </w:pPr>
    </w:p>
    <w:p w14:paraId="237BDB84" w14:textId="77777777" w:rsidR="00D12CE2" w:rsidRDefault="00D12CE2" w:rsidP="00772BC7">
      <w:pPr>
        <w:spacing w:line="480" w:lineRule="auto"/>
        <w:jc w:val="center"/>
        <w:rPr>
          <w:rFonts w:ascii="Times New Roman" w:hAnsi="Times New Roman" w:cs="Times New Roman"/>
          <w:sz w:val="24"/>
          <w:szCs w:val="24"/>
        </w:rPr>
      </w:pPr>
    </w:p>
    <w:p w14:paraId="61A1203B" w14:textId="77777777" w:rsidR="00D12CE2" w:rsidRDefault="00D12CE2" w:rsidP="00772BC7">
      <w:pPr>
        <w:spacing w:line="480" w:lineRule="auto"/>
        <w:jc w:val="center"/>
        <w:rPr>
          <w:rFonts w:ascii="Times New Roman" w:hAnsi="Times New Roman" w:cs="Times New Roman"/>
          <w:sz w:val="24"/>
          <w:szCs w:val="24"/>
        </w:rPr>
      </w:pPr>
    </w:p>
    <w:p w14:paraId="473CC4AA" w14:textId="77777777" w:rsidR="00D12CE2" w:rsidRDefault="00D12CE2" w:rsidP="002140CB">
      <w:pPr>
        <w:spacing w:line="480" w:lineRule="auto"/>
        <w:rPr>
          <w:rFonts w:ascii="Times New Roman" w:hAnsi="Times New Roman" w:cs="Times New Roman"/>
          <w:sz w:val="24"/>
          <w:szCs w:val="24"/>
        </w:rPr>
      </w:pPr>
    </w:p>
    <w:p w14:paraId="3136AF37" w14:textId="77777777" w:rsidR="002140CB" w:rsidRDefault="002140CB" w:rsidP="002140CB">
      <w:pPr>
        <w:spacing w:line="480" w:lineRule="auto"/>
        <w:rPr>
          <w:rFonts w:ascii="Times New Roman" w:hAnsi="Times New Roman" w:cs="Times New Roman"/>
          <w:sz w:val="24"/>
          <w:szCs w:val="24"/>
        </w:rPr>
      </w:pPr>
    </w:p>
    <w:p w14:paraId="01517AF0" w14:textId="77777777" w:rsidR="00D12CE2" w:rsidRDefault="00D12CE2" w:rsidP="00772BC7">
      <w:pPr>
        <w:spacing w:line="480" w:lineRule="auto"/>
        <w:jc w:val="center"/>
        <w:rPr>
          <w:rFonts w:ascii="Times New Roman" w:hAnsi="Times New Roman" w:cs="Times New Roman"/>
          <w:sz w:val="24"/>
          <w:szCs w:val="24"/>
        </w:rPr>
      </w:pPr>
    </w:p>
    <w:p w14:paraId="1F1458EB" w14:textId="77777777" w:rsidR="001B5E87" w:rsidRDefault="001B5E87" w:rsidP="00772BC7">
      <w:pPr>
        <w:spacing w:line="480" w:lineRule="auto"/>
        <w:jc w:val="center"/>
        <w:rPr>
          <w:rFonts w:ascii="Times New Roman" w:hAnsi="Times New Roman" w:cs="Times New Roman"/>
          <w:sz w:val="24"/>
          <w:szCs w:val="24"/>
        </w:rPr>
      </w:pPr>
    </w:p>
    <w:p w14:paraId="6AA3EB03" w14:textId="77777777" w:rsidR="001B5E87" w:rsidRDefault="001B5E87" w:rsidP="00772BC7">
      <w:pPr>
        <w:spacing w:line="480" w:lineRule="auto"/>
        <w:jc w:val="center"/>
        <w:rPr>
          <w:rFonts w:ascii="Times New Roman" w:hAnsi="Times New Roman" w:cs="Times New Roman"/>
          <w:sz w:val="24"/>
          <w:szCs w:val="24"/>
        </w:rPr>
      </w:pPr>
    </w:p>
    <w:p w14:paraId="2D7BC269" w14:textId="77777777" w:rsidR="001B5E87" w:rsidRDefault="001B5E87" w:rsidP="00772BC7">
      <w:pPr>
        <w:spacing w:line="480" w:lineRule="auto"/>
        <w:jc w:val="center"/>
        <w:rPr>
          <w:rFonts w:ascii="Times New Roman" w:hAnsi="Times New Roman" w:cs="Times New Roman"/>
          <w:sz w:val="24"/>
          <w:szCs w:val="24"/>
        </w:rPr>
      </w:pPr>
    </w:p>
    <w:p w14:paraId="7FDDF455" w14:textId="77777777" w:rsidR="001B5E87" w:rsidRDefault="001B5E87" w:rsidP="00772BC7">
      <w:pPr>
        <w:spacing w:line="480" w:lineRule="auto"/>
        <w:jc w:val="center"/>
        <w:rPr>
          <w:rFonts w:ascii="Times New Roman" w:hAnsi="Times New Roman" w:cs="Times New Roman"/>
          <w:sz w:val="24"/>
          <w:szCs w:val="24"/>
        </w:rPr>
      </w:pPr>
    </w:p>
    <w:p w14:paraId="00F357F2" w14:textId="77777777" w:rsidR="001B5E87" w:rsidRDefault="001B5E87" w:rsidP="00772BC7">
      <w:pPr>
        <w:spacing w:line="480" w:lineRule="auto"/>
        <w:jc w:val="center"/>
        <w:rPr>
          <w:rFonts w:ascii="Times New Roman" w:hAnsi="Times New Roman" w:cs="Times New Roman"/>
          <w:sz w:val="24"/>
          <w:szCs w:val="24"/>
        </w:rPr>
      </w:pPr>
    </w:p>
    <w:p w14:paraId="12818428" w14:textId="77777777" w:rsidR="001B5E87" w:rsidRDefault="001B5E87" w:rsidP="00772BC7">
      <w:pPr>
        <w:spacing w:line="480" w:lineRule="auto"/>
        <w:jc w:val="center"/>
        <w:rPr>
          <w:rFonts w:ascii="Times New Roman" w:hAnsi="Times New Roman" w:cs="Times New Roman"/>
          <w:sz w:val="24"/>
          <w:szCs w:val="24"/>
        </w:rPr>
      </w:pPr>
    </w:p>
    <w:p w14:paraId="53141402" w14:textId="4139F3C7" w:rsidR="00772BC7" w:rsidRDefault="00772BC7" w:rsidP="00772BC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749F8C0" w14:textId="11FC5D3F" w:rsidR="00772BC7" w:rsidRPr="00772BC7" w:rsidRDefault="00772BC7" w:rsidP="00772BC7">
      <w:pPr>
        <w:spacing w:line="480" w:lineRule="auto"/>
        <w:ind w:left="720" w:hanging="720"/>
        <w:rPr>
          <w:rFonts w:ascii="Times New Roman" w:hAnsi="Times New Roman" w:cs="Times New Roman"/>
          <w:color w:val="222222"/>
          <w:sz w:val="24"/>
          <w:szCs w:val="24"/>
          <w:shd w:val="clear" w:color="auto" w:fill="FFFFFF"/>
        </w:rPr>
      </w:pPr>
      <w:r w:rsidRPr="00772BC7">
        <w:rPr>
          <w:rFonts w:ascii="Times New Roman" w:hAnsi="Times New Roman" w:cs="Times New Roman"/>
          <w:color w:val="222222"/>
          <w:sz w:val="24"/>
          <w:szCs w:val="24"/>
          <w:shd w:val="clear" w:color="auto" w:fill="FFFFFF"/>
        </w:rPr>
        <w:t>Dobbels, F., Damme</w:t>
      </w:r>
      <w:r w:rsidRPr="00772BC7">
        <w:rPr>
          <w:rFonts w:ascii="Cambria Math" w:hAnsi="Cambria Math" w:cs="Cambria Math"/>
          <w:color w:val="222222"/>
          <w:sz w:val="24"/>
          <w:szCs w:val="24"/>
          <w:shd w:val="clear" w:color="auto" w:fill="FFFFFF"/>
        </w:rPr>
        <w:t>‐</w:t>
      </w:r>
      <w:r w:rsidRPr="00772BC7">
        <w:rPr>
          <w:rFonts w:ascii="Times New Roman" w:hAnsi="Times New Roman" w:cs="Times New Roman"/>
          <w:color w:val="222222"/>
          <w:sz w:val="24"/>
          <w:szCs w:val="24"/>
          <w:shd w:val="clear" w:color="auto" w:fill="FFFFFF"/>
        </w:rPr>
        <w:t>Lombaert, R. V., Vanhaecke, J., &amp; Geest, S. D. (2005). Growing pains: Non</w:t>
      </w:r>
      <w:r w:rsidRPr="00772BC7">
        <w:rPr>
          <w:rFonts w:ascii="Cambria Math" w:hAnsi="Cambria Math" w:cs="Cambria Math"/>
          <w:color w:val="222222"/>
          <w:sz w:val="24"/>
          <w:szCs w:val="24"/>
          <w:shd w:val="clear" w:color="auto" w:fill="FFFFFF"/>
        </w:rPr>
        <w:t>‐</w:t>
      </w:r>
      <w:r w:rsidRPr="00772BC7">
        <w:rPr>
          <w:rFonts w:ascii="Times New Roman" w:hAnsi="Times New Roman" w:cs="Times New Roman"/>
          <w:color w:val="222222"/>
          <w:sz w:val="24"/>
          <w:szCs w:val="24"/>
          <w:shd w:val="clear" w:color="auto" w:fill="FFFFFF"/>
        </w:rPr>
        <w:t>adherence with the immunosuppressive regimen in adolescent transplant recipients. </w:t>
      </w:r>
      <w:r w:rsidRPr="00772BC7">
        <w:rPr>
          <w:rFonts w:ascii="Times New Roman" w:hAnsi="Times New Roman" w:cs="Times New Roman"/>
          <w:i/>
          <w:iCs/>
          <w:color w:val="222222"/>
          <w:sz w:val="24"/>
          <w:szCs w:val="24"/>
          <w:shd w:val="clear" w:color="auto" w:fill="FFFFFF"/>
        </w:rPr>
        <w:t>Pediatric transplantation</w:t>
      </w:r>
      <w:r w:rsidRPr="00772BC7">
        <w:rPr>
          <w:rFonts w:ascii="Times New Roman" w:hAnsi="Times New Roman" w:cs="Times New Roman"/>
          <w:color w:val="222222"/>
          <w:sz w:val="24"/>
          <w:szCs w:val="24"/>
          <w:shd w:val="clear" w:color="auto" w:fill="FFFFFF"/>
        </w:rPr>
        <w:t>, </w:t>
      </w:r>
      <w:r w:rsidRPr="00772BC7">
        <w:rPr>
          <w:rFonts w:ascii="Times New Roman" w:hAnsi="Times New Roman" w:cs="Times New Roman"/>
          <w:i/>
          <w:iCs/>
          <w:color w:val="222222"/>
          <w:sz w:val="24"/>
          <w:szCs w:val="24"/>
          <w:shd w:val="clear" w:color="auto" w:fill="FFFFFF"/>
        </w:rPr>
        <w:t>9</w:t>
      </w:r>
      <w:r w:rsidRPr="00772BC7">
        <w:rPr>
          <w:rFonts w:ascii="Times New Roman" w:hAnsi="Times New Roman" w:cs="Times New Roman"/>
          <w:color w:val="222222"/>
          <w:sz w:val="24"/>
          <w:szCs w:val="24"/>
          <w:shd w:val="clear" w:color="auto" w:fill="FFFFFF"/>
        </w:rPr>
        <w:t>(3), 381-390.</w:t>
      </w:r>
    </w:p>
    <w:p w14:paraId="1991F010" w14:textId="782ACBE3" w:rsidR="00772BC7" w:rsidRPr="00772BC7" w:rsidRDefault="00772BC7" w:rsidP="00772BC7">
      <w:pPr>
        <w:spacing w:line="480" w:lineRule="auto"/>
        <w:ind w:left="720" w:hanging="720"/>
        <w:rPr>
          <w:rFonts w:ascii="Times New Roman" w:hAnsi="Times New Roman" w:cs="Times New Roman"/>
          <w:sz w:val="24"/>
          <w:szCs w:val="24"/>
        </w:rPr>
      </w:pPr>
      <w:r w:rsidRPr="00772BC7">
        <w:rPr>
          <w:rFonts w:ascii="Times New Roman" w:hAnsi="Times New Roman" w:cs="Times New Roman"/>
          <w:color w:val="222222"/>
          <w:sz w:val="24"/>
          <w:szCs w:val="24"/>
          <w:shd w:val="clear" w:color="auto" w:fill="FFFFFF"/>
        </w:rPr>
        <w:t>Jimmy, B., &amp; Jose, J. (2011). Patient medication adherence: measures in daily practice. </w:t>
      </w:r>
      <w:r w:rsidRPr="00772BC7">
        <w:rPr>
          <w:rFonts w:ascii="Times New Roman" w:hAnsi="Times New Roman" w:cs="Times New Roman"/>
          <w:i/>
          <w:iCs/>
          <w:color w:val="222222"/>
          <w:sz w:val="24"/>
          <w:szCs w:val="24"/>
          <w:shd w:val="clear" w:color="auto" w:fill="FFFFFF"/>
        </w:rPr>
        <w:t>Oman medical journal</w:t>
      </w:r>
      <w:r w:rsidRPr="00772BC7">
        <w:rPr>
          <w:rFonts w:ascii="Times New Roman" w:hAnsi="Times New Roman" w:cs="Times New Roman"/>
          <w:color w:val="222222"/>
          <w:sz w:val="24"/>
          <w:szCs w:val="24"/>
          <w:shd w:val="clear" w:color="auto" w:fill="FFFFFF"/>
        </w:rPr>
        <w:t>, </w:t>
      </w:r>
      <w:r w:rsidRPr="00772BC7">
        <w:rPr>
          <w:rFonts w:ascii="Times New Roman" w:hAnsi="Times New Roman" w:cs="Times New Roman"/>
          <w:i/>
          <w:iCs/>
          <w:color w:val="222222"/>
          <w:sz w:val="24"/>
          <w:szCs w:val="24"/>
          <w:shd w:val="clear" w:color="auto" w:fill="FFFFFF"/>
        </w:rPr>
        <w:t>26</w:t>
      </w:r>
      <w:r w:rsidRPr="00772BC7">
        <w:rPr>
          <w:rFonts w:ascii="Times New Roman" w:hAnsi="Times New Roman" w:cs="Times New Roman"/>
          <w:color w:val="222222"/>
          <w:sz w:val="24"/>
          <w:szCs w:val="24"/>
          <w:shd w:val="clear" w:color="auto" w:fill="FFFFFF"/>
        </w:rPr>
        <w:t>(3), 155.</w:t>
      </w:r>
    </w:p>
    <w:p w14:paraId="3E8F53DC" w14:textId="2633FF28" w:rsidR="00772BC7" w:rsidRPr="00772BC7" w:rsidRDefault="00772BC7" w:rsidP="00772BC7">
      <w:pPr>
        <w:spacing w:line="480" w:lineRule="auto"/>
        <w:ind w:left="720" w:hanging="720"/>
        <w:rPr>
          <w:rFonts w:ascii="Times New Roman" w:hAnsi="Times New Roman" w:cs="Times New Roman"/>
          <w:color w:val="222222"/>
          <w:sz w:val="24"/>
          <w:szCs w:val="24"/>
          <w:shd w:val="clear" w:color="auto" w:fill="FFFFFF"/>
        </w:rPr>
      </w:pPr>
      <w:r w:rsidRPr="00772BC7">
        <w:rPr>
          <w:rFonts w:ascii="Times New Roman" w:hAnsi="Times New Roman" w:cs="Times New Roman"/>
          <w:color w:val="222222"/>
          <w:sz w:val="24"/>
          <w:szCs w:val="24"/>
          <w:shd w:val="clear" w:color="auto" w:fill="FFFFFF"/>
        </w:rPr>
        <w:t>Jin, J., Sklar, G. E., Oh, V. M. S., &amp; Li, S. C. (2008). Factors affecting therapeutic compliance: A review from the patient’s perspective. </w:t>
      </w:r>
      <w:r w:rsidRPr="00772BC7">
        <w:rPr>
          <w:rFonts w:ascii="Times New Roman" w:hAnsi="Times New Roman" w:cs="Times New Roman"/>
          <w:i/>
          <w:iCs/>
          <w:color w:val="222222"/>
          <w:sz w:val="24"/>
          <w:szCs w:val="24"/>
          <w:shd w:val="clear" w:color="auto" w:fill="FFFFFF"/>
        </w:rPr>
        <w:t>Therapeutics and clinical risk management</w:t>
      </w:r>
      <w:r w:rsidRPr="00772BC7">
        <w:rPr>
          <w:rFonts w:ascii="Times New Roman" w:hAnsi="Times New Roman" w:cs="Times New Roman"/>
          <w:color w:val="222222"/>
          <w:sz w:val="24"/>
          <w:szCs w:val="24"/>
          <w:shd w:val="clear" w:color="auto" w:fill="FFFFFF"/>
        </w:rPr>
        <w:t>, </w:t>
      </w:r>
      <w:r w:rsidRPr="00772BC7">
        <w:rPr>
          <w:rFonts w:ascii="Times New Roman" w:hAnsi="Times New Roman" w:cs="Times New Roman"/>
          <w:i/>
          <w:iCs/>
          <w:color w:val="222222"/>
          <w:sz w:val="24"/>
          <w:szCs w:val="24"/>
          <w:shd w:val="clear" w:color="auto" w:fill="FFFFFF"/>
        </w:rPr>
        <w:t>4</w:t>
      </w:r>
      <w:r w:rsidRPr="00772BC7">
        <w:rPr>
          <w:rFonts w:ascii="Times New Roman" w:hAnsi="Times New Roman" w:cs="Times New Roman"/>
          <w:color w:val="222222"/>
          <w:sz w:val="24"/>
          <w:szCs w:val="24"/>
          <w:shd w:val="clear" w:color="auto" w:fill="FFFFFF"/>
        </w:rPr>
        <w:t>(1), 269.</w:t>
      </w:r>
    </w:p>
    <w:p w14:paraId="37500526" w14:textId="4B3D7134" w:rsidR="00772BC7" w:rsidRPr="00772BC7" w:rsidRDefault="00772BC7" w:rsidP="00772BC7">
      <w:pPr>
        <w:spacing w:after="0" w:line="480" w:lineRule="auto"/>
        <w:ind w:left="720" w:hanging="720"/>
        <w:rPr>
          <w:rFonts w:ascii="Times New Roman" w:hAnsi="Times New Roman" w:cs="Times New Roman"/>
          <w:sz w:val="24"/>
          <w:szCs w:val="24"/>
        </w:rPr>
      </w:pPr>
      <w:r w:rsidRPr="00772BC7">
        <w:rPr>
          <w:rFonts w:ascii="Times New Roman" w:hAnsi="Times New Roman" w:cs="Times New Roman"/>
          <w:sz w:val="24"/>
          <w:szCs w:val="24"/>
        </w:rPr>
        <w:t xml:space="preserve">Raiff, B. R., Jarvis, B. P., &amp;Dallery, J. (2016). Text-message reminders plus incentives increase adherence to antidiabetic medication in adults with type 2 diabetes. </w:t>
      </w:r>
      <w:r w:rsidRPr="00772BC7">
        <w:rPr>
          <w:rFonts w:ascii="Times New Roman" w:hAnsi="Times New Roman" w:cs="Times New Roman"/>
          <w:i/>
          <w:sz w:val="24"/>
          <w:szCs w:val="24"/>
        </w:rPr>
        <w:t>Journal of Applied Behavioral Analysis, 49</w:t>
      </w:r>
      <w:r w:rsidRPr="00772BC7">
        <w:rPr>
          <w:rFonts w:ascii="Times New Roman" w:hAnsi="Times New Roman" w:cs="Times New Roman"/>
          <w:sz w:val="24"/>
          <w:szCs w:val="24"/>
        </w:rPr>
        <w:t>(4), 947-953.</w:t>
      </w:r>
    </w:p>
    <w:p w14:paraId="0F2CA838" w14:textId="4273FFE4" w:rsidR="00772BC7" w:rsidRPr="00772BC7" w:rsidRDefault="00772BC7" w:rsidP="00772BC7">
      <w:pPr>
        <w:spacing w:after="0" w:line="480" w:lineRule="auto"/>
        <w:ind w:left="720" w:hanging="720"/>
        <w:rPr>
          <w:rFonts w:ascii="Times New Roman" w:hAnsi="Times New Roman" w:cs="Times New Roman"/>
          <w:sz w:val="24"/>
          <w:szCs w:val="24"/>
        </w:rPr>
      </w:pPr>
      <w:r w:rsidRPr="00772BC7">
        <w:rPr>
          <w:rFonts w:ascii="Times New Roman" w:hAnsi="Times New Roman" w:cs="Times New Roman"/>
          <w:color w:val="222222"/>
          <w:sz w:val="24"/>
          <w:szCs w:val="24"/>
          <w:shd w:val="clear" w:color="auto" w:fill="FFFFFF"/>
        </w:rPr>
        <w:t>Weisner, C., Campbell, C. I., Altschuler, A., Yarborough, B. J. H., Lapham, G. T., Binswanger, I. A., ... &amp; McCarty, D. (2019). Factors associated with Healthcare Effectiveness Data and Information Set (HEDIS) alcohol and other drug measure performance in 2014–2015. </w:t>
      </w:r>
      <w:r w:rsidRPr="00772BC7">
        <w:rPr>
          <w:rFonts w:ascii="Times New Roman" w:hAnsi="Times New Roman" w:cs="Times New Roman"/>
          <w:i/>
          <w:iCs/>
          <w:color w:val="222222"/>
          <w:sz w:val="24"/>
          <w:szCs w:val="24"/>
          <w:shd w:val="clear" w:color="auto" w:fill="FFFFFF"/>
        </w:rPr>
        <w:t>Substance abuse</w:t>
      </w:r>
      <w:r w:rsidRPr="00772BC7">
        <w:rPr>
          <w:rFonts w:ascii="Times New Roman" w:hAnsi="Times New Roman" w:cs="Times New Roman"/>
          <w:color w:val="222222"/>
          <w:sz w:val="24"/>
          <w:szCs w:val="24"/>
          <w:shd w:val="clear" w:color="auto" w:fill="FFFFFF"/>
        </w:rPr>
        <w:t>, 1-11.</w:t>
      </w:r>
      <w:bookmarkEnd w:id="0"/>
    </w:p>
    <w:sectPr w:rsidR="00772BC7" w:rsidRPr="00772BC7" w:rsidSect="00AE5A8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F11934" w14:textId="77777777" w:rsidR="00861C39" w:rsidRDefault="00861C39" w:rsidP="00AE5A85">
      <w:pPr>
        <w:spacing w:after="0" w:line="240" w:lineRule="auto"/>
      </w:pPr>
      <w:r>
        <w:separator/>
      </w:r>
    </w:p>
  </w:endnote>
  <w:endnote w:type="continuationSeparator" w:id="0">
    <w:p w14:paraId="137A5B5A" w14:textId="77777777" w:rsidR="00861C39" w:rsidRDefault="00861C39" w:rsidP="00AE5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756E86" w14:textId="77777777" w:rsidR="00861C39" w:rsidRDefault="00861C39" w:rsidP="00AE5A85">
      <w:pPr>
        <w:spacing w:after="0" w:line="240" w:lineRule="auto"/>
      </w:pPr>
      <w:r>
        <w:separator/>
      </w:r>
    </w:p>
  </w:footnote>
  <w:footnote w:type="continuationSeparator" w:id="0">
    <w:p w14:paraId="25556BA4" w14:textId="77777777" w:rsidR="00861C39" w:rsidRDefault="00861C39" w:rsidP="00AE5A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7960031"/>
      <w:docPartObj>
        <w:docPartGallery w:val="Page Numbers (Top of Page)"/>
        <w:docPartUnique/>
      </w:docPartObj>
    </w:sdtPr>
    <w:sdtEndPr>
      <w:rPr>
        <w:noProof/>
      </w:rPr>
    </w:sdtEndPr>
    <w:sdtContent>
      <w:p w14:paraId="63FDDAAA" w14:textId="3F1C1CC8" w:rsidR="00AE5A85" w:rsidRDefault="00AE5A85">
        <w:pPr>
          <w:pStyle w:val="Header"/>
          <w:jc w:val="right"/>
        </w:pPr>
        <w:r>
          <w:fldChar w:fldCharType="begin"/>
        </w:r>
        <w:r>
          <w:instrText xml:space="preserve"> PAGE   \* MERGEFORMAT </w:instrText>
        </w:r>
        <w:r>
          <w:fldChar w:fldCharType="separate"/>
        </w:r>
        <w:r w:rsidR="00C25A40">
          <w:rPr>
            <w:noProof/>
          </w:rPr>
          <w:t>5</w:t>
        </w:r>
        <w:r>
          <w:rPr>
            <w:noProof/>
          </w:rPr>
          <w:fldChar w:fldCharType="end"/>
        </w:r>
      </w:p>
    </w:sdtContent>
  </w:sdt>
  <w:p w14:paraId="04197FE7" w14:textId="77777777" w:rsidR="00AE5A85" w:rsidRDefault="00AE5A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0578D4" w14:textId="78144703" w:rsidR="00AE5A85" w:rsidRDefault="00AE5A85">
    <w:pPr>
      <w:pStyle w:val="Header"/>
      <w:jc w:val="right"/>
    </w:pPr>
    <w:r w:rsidRPr="00BF0AD1">
      <w:t xml:space="preserve">Running head: EXPERIENTIAL </w:t>
    </w:r>
    <w:r w:rsidR="00BF0AD1" w:rsidRPr="00BF0AD1">
      <w:t>LEARNING APPLICATION 2-CHAPTER 4</w:t>
    </w:r>
    <w:r w:rsidR="00977B46">
      <w:t xml:space="preserve">      </w:t>
    </w:r>
    <w:r w:rsidR="00BF0AD1">
      <w:t xml:space="preserve">                                                     </w:t>
    </w:r>
    <w:sdt>
      <w:sdtPr>
        <w:id w:val="19244460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140CB">
          <w:rPr>
            <w:noProof/>
          </w:rPr>
          <w:t>1</w:t>
        </w:r>
        <w:r>
          <w:rPr>
            <w:noProof/>
          </w:rPr>
          <w:fldChar w:fldCharType="end"/>
        </w:r>
      </w:sdtContent>
    </w:sdt>
  </w:p>
  <w:p w14:paraId="2FFEE60F" w14:textId="77777777" w:rsidR="00AE5A85" w:rsidRDefault="00AE5A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45E16"/>
    <w:multiLevelType w:val="hybridMultilevel"/>
    <w:tmpl w:val="697E65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7B9D7975"/>
    <w:multiLevelType w:val="hybridMultilevel"/>
    <w:tmpl w:val="B7C6D3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B74"/>
    <w:rsid w:val="0000026A"/>
    <w:rsid w:val="00003759"/>
    <w:rsid w:val="00020B8E"/>
    <w:rsid w:val="000570FA"/>
    <w:rsid w:val="0005791B"/>
    <w:rsid w:val="00063588"/>
    <w:rsid w:val="00085D58"/>
    <w:rsid w:val="00096810"/>
    <w:rsid w:val="000E35D7"/>
    <w:rsid w:val="000F77E7"/>
    <w:rsid w:val="000F7FDC"/>
    <w:rsid w:val="0012518F"/>
    <w:rsid w:val="00143756"/>
    <w:rsid w:val="00156236"/>
    <w:rsid w:val="0019784D"/>
    <w:rsid w:val="001B5E87"/>
    <w:rsid w:val="001C4505"/>
    <w:rsid w:val="001D1608"/>
    <w:rsid w:val="001D5393"/>
    <w:rsid w:val="001F174E"/>
    <w:rsid w:val="001F3D86"/>
    <w:rsid w:val="002140CB"/>
    <w:rsid w:val="00222E64"/>
    <w:rsid w:val="00236CC8"/>
    <w:rsid w:val="00272543"/>
    <w:rsid w:val="002837BD"/>
    <w:rsid w:val="002A2558"/>
    <w:rsid w:val="002D2B2E"/>
    <w:rsid w:val="002D42F5"/>
    <w:rsid w:val="0036623F"/>
    <w:rsid w:val="003D3AAE"/>
    <w:rsid w:val="00403575"/>
    <w:rsid w:val="00406ACA"/>
    <w:rsid w:val="00411856"/>
    <w:rsid w:val="00420058"/>
    <w:rsid w:val="00467C30"/>
    <w:rsid w:val="004874EC"/>
    <w:rsid w:val="00490D21"/>
    <w:rsid w:val="00491C9C"/>
    <w:rsid w:val="00496684"/>
    <w:rsid w:val="004A42AE"/>
    <w:rsid w:val="004E0F56"/>
    <w:rsid w:val="004F6B0A"/>
    <w:rsid w:val="005139F2"/>
    <w:rsid w:val="00592982"/>
    <w:rsid w:val="005B4553"/>
    <w:rsid w:val="005D2C7C"/>
    <w:rsid w:val="00601E4A"/>
    <w:rsid w:val="00611E80"/>
    <w:rsid w:val="006357B8"/>
    <w:rsid w:val="00642950"/>
    <w:rsid w:val="00654B84"/>
    <w:rsid w:val="00662364"/>
    <w:rsid w:val="006A4983"/>
    <w:rsid w:val="006D5AC2"/>
    <w:rsid w:val="006D6065"/>
    <w:rsid w:val="00711D0C"/>
    <w:rsid w:val="00712E44"/>
    <w:rsid w:val="0072656E"/>
    <w:rsid w:val="00732DA7"/>
    <w:rsid w:val="00735894"/>
    <w:rsid w:val="00744F67"/>
    <w:rsid w:val="00753A77"/>
    <w:rsid w:val="007718A2"/>
    <w:rsid w:val="00772BC7"/>
    <w:rsid w:val="00785791"/>
    <w:rsid w:val="00795B21"/>
    <w:rsid w:val="00797D34"/>
    <w:rsid w:val="007B16BD"/>
    <w:rsid w:val="007C2849"/>
    <w:rsid w:val="007D4A46"/>
    <w:rsid w:val="007E2F5B"/>
    <w:rsid w:val="007F3309"/>
    <w:rsid w:val="007F406F"/>
    <w:rsid w:val="00802A08"/>
    <w:rsid w:val="00806DF9"/>
    <w:rsid w:val="008268DB"/>
    <w:rsid w:val="00830707"/>
    <w:rsid w:val="008436E3"/>
    <w:rsid w:val="00853282"/>
    <w:rsid w:val="00856BEC"/>
    <w:rsid w:val="0086148F"/>
    <w:rsid w:val="00861C39"/>
    <w:rsid w:val="00867B8A"/>
    <w:rsid w:val="008D11F5"/>
    <w:rsid w:val="008D71BD"/>
    <w:rsid w:val="008E0712"/>
    <w:rsid w:val="008F3EC6"/>
    <w:rsid w:val="008F7C92"/>
    <w:rsid w:val="00935085"/>
    <w:rsid w:val="009618CE"/>
    <w:rsid w:val="00977B46"/>
    <w:rsid w:val="009A6A3E"/>
    <w:rsid w:val="009A76A3"/>
    <w:rsid w:val="009B6B74"/>
    <w:rsid w:val="009E1F2A"/>
    <w:rsid w:val="009F0A7B"/>
    <w:rsid w:val="009F24B9"/>
    <w:rsid w:val="00A15DB2"/>
    <w:rsid w:val="00A1632E"/>
    <w:rsid w:val="00A24EF4"/>
    <w:rsid w:val="00A70C6A"/>
    <w:rsid w:val="00A92385"/>
    <w:rsid w:val="00AB1BD9"/>
    <w:rsid w:val="00AC6DB5"/>
    <w:rsid w:val="00AE5A85"/>
    <w:rsid w:val="00AF0687"/>
    <w:rsid w:val="00AF7D0D"/>
    <w:rsid w:val="00B00DA8"/>
    <w:rsid w:val="00B13570"/>
    <w:rsid w:val="00B20EFA"/>
    <w:rsid w:val="00B251FC"/>
    <w:rsid w:val="00B25FC9"/>
    <w:rsid w:val="00B60EE8"/>
    <w:rsid w:val="00B83E71"/>
    <w:rsid w:val="00BA3BD1"/>
    <w:rsid w:val="00BF0AD1"/>
    <w:rsid w:val="00C25A40"/>
    <w:rsid w:val="00C415BF"/>
    <w:rsid w:val="00C423A2"/>
    <w:rsid w:val="00C423F0"/>
    <w:rsid w:val="00C547D0"/>
    <w:rsid w:val="00C71573"/>
    <w:rsid w:val="00C7272B"/>
    <w:rsid w:val="00C805E7"/>
    <w:rsid w:val="00D12CE2"/>
    <w:rsid w:val="00D81416"/>
    <w:rsid w:val="00D814B7"/>
    <w:rsid w:val="00D96AE7"/>
    <w:rsid w:val="00DA7431"/>
    <w:rsid w:val="00DF5DC4"/>
    <w:rsid w:val="00E06BE7"/>
    <w:rsid w:val="00E205BB"/>
    <w:rsid w:val="00E313BD"/>
    <w:rsid w:val="00E41445"/>
    <w:rsid w:val="00E63EC4"/>
    <w:rsid w:val="00EA7A9C"/>
    <w:rsid w:val="00EB77CA"/>
    <w:rsid w:val="00EC6FD1"/>
    <w:rsid w:val="00ED495E"/>
    <w:rsid w:val="00F22572"/>
    <w:rsid w:val="00F26015"/>
    <w:rsid w:val="00F33931"/>
    <w:rsid w:val="00F610F7"/>
    <w:rsid w:val="00F65FA3"/>
    <w:rsid w:val="00F714A3"/>
    <w:rsid w:val="00FA38FF"/>
    <w:rsid w:val="00FB5C9D"/>
    <w:rsid w:val="00FD7145"/>
    <w:rsid w:val="00FE3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64770"/>
  <w15:chartTrackingRefBased/>
  <w15:docId w15:val="{0566FCC2-583E-4C33-9159-49135D895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0058"/>
    <w:pPr>
      <w:spacing w:after="200" w:line="276" w:lineRule="auto"/>
      <w:ind w:left="720"/>
      <w:contextualSpacing/>
    </w:pPr>
    <w:rPr>
      <w:rFonts w:ascii="Calibri" w:eastAsia="Times New Roman" w:hAnsi="Calibri" w:cs="Times New Roman"/>
      <w:lang w:bidi="en-US"/>
    </w:rPr>
  </w:style>
  <w:style w:type="character" w:styleId="Hyperlink">
    <w:name w:val="Hyperlink"/>
    <w:basedOn w:val="DefaultParagraphFont"/>
    <w:uiPriority w:val="99"/>
    <w:semiHidden/>
    <w:unhideWhenUsed/>
    <w:rsid w:val="000E35D7"/>
    <w:rPr>
      <w:color w:val="0000FF"/>
      <w:u w:val="single"/>
    </w:rPr>
  </w:style>
  <w:style w:type="paragraph" w:customStyle="1" w:styleId="TableParagraph">
    <w:name w:val="Table Paragraph"/>
    <w:basedOn w:val="Normal"/>
    <w:uiPriority w:val="1"/>
    <w:qFormat/>
    <w:rsid w:val="00935085"/>
    <w:pPr>
      <w:widowControl w:val="0"/>
      <w:autoSpaceDE w:val="0"/>
      <w:autoSpaceDN w:val="0"/>
      <w:spacing w:after="0" w:line="240" w:lineRule="auto"/>
    </w:pPr>
    <w:rPr>
      <w:rFonts w:ascii="Times New Roman" w:eastAsia="Times New Roman" w:hAnsi="Times New Roman" w:cs="Times New Roman"/>
    </w:rPr>
  </w:style>
  <w:style w:type="table" w:styleId="TableGrid">
    <w:name w:val="Table Grid"/>
    <w:basedOn w:val="TableNormal"/>
    <w:uiPriority w:val="59"/>
    <w:rsid w:val="0093508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AE5A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5A85"/>
  </w:style>
  <w:style w:type="paragraph" w:styleId="Footer">
    <w:name w:val="footer"/>
    <w:basedOn w:val="Normal"/>
    <w:link w:val="FooterChar"/>
    <w:uiPriority w:val="99"/>
    <w:unhideWhenUsed/>
    <w:rsid w:val="00AE5A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5A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59322">
      <w:bodyDiv w:val="1"/>
      <w:marLeft w:val="0"/>
      <w:marRight w:val="0"/>
      <w:marTop w:val="0"/>
      <w:marBottom w:val="0"/>
      <w:divBdr>
        <w:top w:val="none" w:sz="0" w:space="0" w:color="auto"/>
        <w:left w:val="none" w:sz="0" w:space="0" w:color="auto"/>
        <w:bottom w:val="none" w:sz="0" w:space="0" w:color="auto"/>
        <w:right w:val="none" w:sz="0" w:space="0" w:color="auto"/>
      </w:divBdr>
    </w:div>
    <w:div w:id="454298673">
      <w:bodyDiv w:val="1"/>
      <w:marLeft w:val="0"/>
      <w:marRight w:val="0"/>
      <w:marTop w:val="0"/>
      <w:marBottom w:val="0"/>
      <w:divBdr>
        <w:top w:val="none" w:sz="0" w:space="0" w:color="auto"/>
        <w:left w:val="none" w:sz="0" w:space="0" w:color="auto"/>
        <w:bottom w:val="none" w:sz="0" w:space="0" w:color="auto"/>
        <w:right w:val="none" w:sz="0" w:space="0" w:color="auto"/>
      </w:divBdr>
    </w:div>
    <w:div w:id="638730752">
      <w:bodyDiv w:val="1"/>
      <w:marLeft w:val="0"/>
      <w:marRight w:val="0"/>
      <w:marTop w:val="0"/>
      <w:marBottom w:val="0"/>
      <w:divBdr>
        <w:top w:val="none" w:sz="0" w:space="0" w:color="auto"/>
        <w:left w:val="none" w:sz="0" w:space="0" w:color="auto"/>
        <w:bottom w:val="none" w:sz="0" w:space="0" w:color="auto"/>
        <w:right w:val="none" w:sz="0" w:space="0" w:color="auto"/>
      </w:divBdr>
    </w:div>
    <w:div w:id="860360992">
      <w:bodyDiv w:val="1"/>
      <w:marLeft w:val="0"/>
      <w:marRight w:val="0"/>
      <w:marTop w:val="0"/>
      <w:marBottom w:val="0"/>
      <w:divBdr>
        <w:top w:val="none" w:sz="0" w:space="0" w:color="auto"/>
        <w:left w:val="none" w:sz="0" w:space="0" w:color="auto"/>
        <w:bottom w:val="none" w:sz="0" w:space="0" w:color="auto"/>
        <w:right w:val="none" w:sz="0" w:space="0" w:color="auto"/>
      </w:divBdr>
    </w:div>
    <w:div w:id="888343528">
      <w:bodyDiv w:val="1"/>
      <w:marLeft w:val="0"/>
      <w:marRight w:val="0"/>
      <w:marTop w:val="0"/>
      <w:marBottom w:val="0"/>
      <w:divBdr>
        <w:top w:val="none" w:sz="0" w:space="0" w:color="auto"/>
        <w:left w:val="none" w:sz="0" w:space="0" w:color="auto"/>
        <w:bottom w:val="none" w:sz="0" w:space="0" w:color="auto"/>
        <w:right w:val="none" w:sz="0" w:space="0" w:color="auto"/>
      </w:divBdr>
    </w:div>
    <w:div w:id="1277298796">
      <w:bodyDiv w:val="1"/>
      <w:marLeft w:val="0"/>
      <w:marRight w:val="0"/>
      <w:marTop w:val="0"/>
      <w:marBottom w:val="0"/>
      <w:divBdr>
        <w:top w:val="none" w:sz="0" w:space="0" w:color="auto"/>
        <w:left w:val="none" w:sz="0" w:space="0" w:color="auto"/>
        <w:bottom w:val="none" w:sz="0" w:space="0" w:color="auto"/>
        <w:right w:val="none" w:sz="0" w:space="0" w:color="auto"/>
      </w:divBdr>
    </w:div>
    <w:div w:id="199694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andfonline.com/author/Weisner%2C+Constanc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959</Words>
  <Characters>5471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Dennis Menge</cp:lastModifiedBy>
  <cp:revision>2</cp:revision>
  <dcterms:created xsi:type="dcterms:W3CDTF">2019-07-18T15:58:00Z</dcterms:created>
  <dcterms:modified xsi:type="dcterms:W3CDTF">2019-07-18T15:58:00Z</dcterms:modified>
</cp:coreProperties>
</file>